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jc w:val="center"/>
        <w:rPr>
          <w:rFonts w:ascii="方正小标宋_GBK" w:hAnsi="方正小标宋_GBK" w:eastAsia="方正小标宋_GBK" w:cs="方正小标宋_GBK"/>
          <w:color w:val="333333"/>
          <w:kern w:val="0"/>
          <w:sz w:val="44"/>
          <w:szCs w:val="44"/>
        </w:rPr>
      </w:pPr>
    </w:p>
    <w:p>
      <w:pPr>
        <w:widowControl/>
        <w:spacing w:line="560" w:lineRule="exact"/>
        <w:jc w:val="center"/>
        <w:rPr>
          <w:rFonts w:ascii="方正小标宋_GBK" w:hAnsi="方正小标宋_GBK" w:eastAsia="方正小标宋_GBK" w:cs="方正小标宋_GBK"/>
          <w:color w:val="333333"/>
          <w:kern w:val="0"/>
          <w:sz w:val="44"/>
          <w:szCs w:val="44"/>
        </w:rPr>
      </w:pPr>
    </w:p>
    <w:p>
      <w:pPr>
        <w:widowControl/>
        <w:spacing w:line="560" w:lineRule="exact"/>
        <w:jc w:val="center"/>
        <w:rPr>
          <w:rFonts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松北区审计局2021年政府信息公开工作报告</w:t>
      </w:r>
    </w:p>
    <w:p>
      <w:pPr>
        <w:widowControl/>
        <w:spacing w:line="560" w:lineRule="exact"/>
        <w:ind w:firstLine="538"/>
        <w:jc w:val="left"/>
        <w:rPr>
          <w:rFonts w:ascii="仿宋_GB2312" w:hAnsi="宋体" w:eastAsia="仿宋_GB2312" w:cs="宋体"/>
          <w:color w:val="333333"/>
          <w:kern w:val="0"/>
          <w:sz w:val="32"/>
          <w:szCs w:val="32"/>
        </w:rPr>
      </w:pPr>
    </w:p>
    <w:p>
      <w:pPr>
        <w:widowControl/>
        <w:spacing w:line="560" w:lineRule="exac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 xml:space="preserve">    本年报根据《中华人民共和国政府信息公开条例》要求编制。全文包括总体情况、主动公开政府信息情况、收到和处理政府信息公开申请情况、政府信息公开行政复议、行政诉讼情况、存在的主要问题及改进情况和其他需要报告的事项共六个部分。本年报中所列数据的统计期限自2021年1月1日起至2021年12月31日止。如对本年报有疑问，请与松北区审计局办公室联系（地址：哈尔滨市松北区创新一路625号，邮编：150028，联系电话：0451-84090161）。</w:t>
      </w:r>
    </w:p>
    <w:p>
      <w:pPr>
        <w:widowControl/>
        <w:shd w:val="clear" w:color="auto" w:fill="FFFFFF"/>
        <w:spacing w:line="560" w:lineRule="exact"/>
        <w:ind w:firstLine="351"/>
        <w:jc w:val="left"/>
        <w:rPr>
          <w:rFonts w:ascii="黑体" w:hAnsi="黑体" w:eastAsia="黑体" w:cs="宋体"/>
          <w:kern w:val="0"/>
          <w:sz w:val="32"/>
          <w:szCs w:val="32"/>
        </w:rPr>
      </w:pPr>
      <w:r>
        <w:rPr>
          <w:rFonts w:hint="eastAsia" w:ascii="黑体" w:hAnsi="黑体" w:eastAsia="黑体" w:cs="宋体"/>
          <w:color w:val="333333"/>
          <w:kern w:val="0"/>
          <w:sz w:val="32"/>
          <w:szCs w:val="32"/>
        </w:rPr>
        <w:t xml:space="preserve">  一、总体情况</w:t>
      </w:r>
    </w:p>
    <w:p>
      <w:pPr>
        <w:widowControl/>
        <w:shd w:val="clear" w:color="auto" w:fill="FFFFFF"/>
        <w:spacing w:line="560" w:lineRule="exact"/>
        <w:ind w:firstLine="668" w:firstLineChars="209"/>
        <w:rPr>
          <w:rFonts w:ascii="微软雅黑" w:hAnsi="微软雅黑" w:eastAsia="仿宋_GB2312" w:cs="宋体"/>
          <w:color w:val="333333"/>
          <w:kern w:val="0"/>
          <w:sz w:val="32"/>
          <w:szCs w:val="32"/>
        </w:rPr>
      </w:pPr>
      <w:r>
        <w:rPr>
          <w:rFonts w:hint="eastAsia" w:ascii="仿宋_GB2312" w:hAnsi="宋体" w:eastAsia="仿宋_GB2312" w:cs="宋体"/>
          <w:color w:val="333333"/>
          <w:kern w:val="0"/>
          <w:sz w:val="32"/>
          <w:szCs w:val="32"/>
        </w:rPr>
        <w:t>2021年，松北区审计局政府信息公开工作坚持以习近平新时代中国特色社会主义思想为指导，深入贯彻党的十九大及历次全会精神，紧紧围绕区委、区政府和市发改委的重大决策部署和公众关切，严格按</w:t>
      </w:r>
      <w:r>
        <w:rPr>
          <w:rFonts w:hint="eastAsia" w:ascii="仿宋_GB2312" w:hAnsi="仿宋_GB2312" w:eastAsia="仿宋_GB2312" w:cs="仿宋_GB2312"/>
          <w:sz w:val="32"/>
          <w:szCs w:val="32"/>
        </w:rPr>
        <w:t>照《中华人民共和国政府信息公开条例》和《哈尔滨市 2021年政务公开工作方案》以及上级关于做好政务公开工作的各项通知要求，进一步细化政务公开工作任务，以公开促规范，以公开促服务，切实保障人民群众的知情权、参与权、表达权和监督权，创新政府信息公开形式，持续推进政府信息公开工作，形成长效、稳定的运行机制</w:t>
      </w:r>
      <w:r>
        <w:rPr>
          <w:rFonts w:hint="eastAsia" w:ascii="仿宋_GB2312" w:hAnsi="仿宋_GB2312" w:eastAsia="仿宋_GB2312" w:cs="仿宋_GB2312"/>
          <w:color w:val="000000"/>
          <w:sz w:val="32"/>
          <w:szCs w:val="32"/>
          <w:lang w:bidi="ar"/>
        </w:rPr>
        <w:t>。</w:t>
      </w:r>
      <w:r>
        <w:rPr>
          <w:rFonts w:hint="eastAsia" w:ascii="微软雅黑" w:hAnsi="微软雅黑" w:eastAsia="仿宋_GB2312" w:cs="宋体"/>
          <w:color w:val="333333"/>
          <w:kern w:val="0"/>
          <w:sz w:val="32"/>
          <w:szCs w:val="32"/>
        </w:rPr>
        <w:t> </w:t>
      </w:r>
    </w:p>
    <w:p>
      <w:pPr>
        <w:widowControl/>
        <w:shd w:val="clear" w:color="auto" w:fill="FFFFFF"/>
        <w:spacing w:line="560" w:lineRule="exact"/>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二、主动公开政府信息情况</w:t>
      </w:r>
    </w:p>
    <w:p>
      <w:pPr>
        <w:pStyle w:val="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本年度制发行政规范性文件0件。</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29"/>
        <w:gridCol w:w="2188"/>
        <w:gridCol w:w="2361"/>
        <w:gridCol w:w="2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5000" w:type="pct"/>
            <w:gridSpan w:val="4"/>
            <w:tcBorders>
              <w:top w:val="single" w:color="000000" w:sz="8" w:space="0"/>
              <w:left w:val="single" w:color="000000" w:sz="8" w:space="0"/>
              <w:bottom w:val="single" w:color="000000" w:sz="8"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1238"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3"/>
                <w:bdr w:val="none" w:color="auto" w:sz="0" w:space="0"/>
                <w:lang w:val="en-US" w:eastAsia="zh-CN" w:bidi="ar"/>
              </w:rPr>
              <w:t>本年</w:t>
            </w:r>
            <w:r>
              <w:rPr>
                <w:rFonts w:ascii="Calibri" w:hAnsi="Calibri" w:eastAsia="宋体" w:cs="Calibri"/>
                <w:i w:val="0"/>
                <w:iCs w:val="0"/>
                <w:color w:val="000000"/>
                <w:kern w:val="0"/>
                <w:sz w:val="20"/>
                <w:szCs w:val="20"/>
                <w:u w:val="none"/>
                <w:bdr w:val="none" w:color="auto" w:sz="0" w:space="0"/>
                <w:lang w:val="en-US" w:eastAsia="zh-CN" w:bidi="ar"/>
              </w:rPr>
              <w:t>制</w:t>
            </w:r>
            <w:r>
              <w:rPr>
                <w:rStyle w:val="13"/>
                <w:bdr w:val="none" w:color="auto" w:sz="0" w:space="0"/>
                <w:lang w:val="en-US" w:eastAsia="zh-CN" w:bidi="ar"/>
              </w:rPr>
              <w:t>发件</w:t>
            </w:r>
            <w:r>
              <w:rPr>
                <w:rFonts w:ascii="Calibri" w:hAnsi="Calibri" w:eastAsia="宋体" w:cs="Calibri"/>
                <w:i w:val="0"/>
                <w:iCs w:val="0"/>
                <w:color w:val="000000"/>
                <w:kern w:val="0"/>
                <w:sz w:val="20"/>
                <w:szCs w:val="20"/>
                <w:u w:val="none"/>
                <w:bdr w:val="none" w:color="auto" w:sz="0" w:space="0"/>
                <w:lang w:val="en-US" w:eastAsia="zh-CN" w:bidi="ar"/>
              </w:rPr>
              <w:t>数</w:t>
            </w:r>
          </w:p>
        </w:tc>
        <w:tc>
          <w:tcPr>
            <w:tcW w:w="1336"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本年废止件数</w:t>
            </w:r>
          </w:p>
        </w:tc>
        <w:tc>
          <w:tcPr>
            <w:tcW w:w="1220"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3"/>
                <w:bdr w:val="none" w:color="auto" w:sz="0" w:space="0"/>
                <w:lang w:val="en-US" w:eastAsia="zh-CN" w:bidi="ar"/>
              </w:rPr>
              <w:t>现行有效件</w:t>
            </w:r>
            <w:r>
              <w:rPr>
                <w:rFonts w:ascii="Calibri" w:hAnsi="Calibri" w:eastAsia="宋体" w:cs="Calibri"/>
                <w:i w:val="0"/>
                <w:iCs w:val="0"/>
                <w:color w:val="000000"/>
                <w:kern w:val="0"/>
                <w:sz w:val="20"/>
                <w:szCs w:val="20"/>
                <w:u w:val="none"/>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规章</w:t>
            </w:r>
          </w:p>
        </w:tc>
        <w:tc>
          <w:tcPr>
            <w:tcW w:w="1238"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36"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220"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行政规范性文件</w:t>
            </w:r>
          </w:p>
        </w:tc>
        <w:tc>
          <w:tcPr>
            <w:tcW w:w="1238"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36"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220" w:type="pc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5000" w:type="pct"/>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3794"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3794"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1"/>
                <w:szCs w:val="21"/>
                <w:u w:val="none"/>
              </w:rPr>
            </w:pPr>
            <w:r>
              <w:rPr>
                <w:rFonts w:hint="default" w:ascii="Calibri" w:hAnsi="Calibri" w:eastAsia="等线" w:cs="Calibri"/>
                <w:i w:val="0"/>
                <w:iCs w:val="0"/>
                <w:color w:val="000000"/>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3794" w:type="pct"/>
            <w:gridSpan w:val="3"/>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行政处罚</w:t>
            </w:r>
          </w:p>
        </w:tc>
        <w:tc>
          <w:tcPr>
            <w:tcW w:w="3794"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行政强制</w:t>
            </w:r>
          </w:p>
        </w:tc>
        <w:tc>
          <w:tcPr>
            <w:tcW w:w="3794"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4"/>
            <w:tcBorders>
              <w:top w:val="nil"/>
              <w:left w:val="single" w:color="000000" w:sz="8" w:space="0"/>
              <w:bottom w:val="single" w:color="000000" w:sz="8" w:space="0"/>
              <w:right w:val="single" w:color="000000" w:sz="8"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信息内容</w:t>
            </w:r>
          </w:p>
        </w:tc>
        <w:tc>
          <w:tcPr>
            <w:tcW w:w="3794" w:type="pct"/>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5" w:type="pc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行政事业性收费</w:t>
            </w:r>
          </w:p>
        </w:tc>
        <w:tc>
          <w:tcPr>
            <w:tcW w:w="3794" w:type="pct"/>
            <w:gridSpan w:val="3"/>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w:t>
            </w:r>
          </w:p>
        </w:tc>
      </w:tr>
    </w:tbl>
    <w:p>
      <w:pPr>
        <w:pStyle w:val="2"/>
        <w:rPr>
          <w:rFonts w:hint="eastAsia" w:ascii="仿宋_GB2312" w:hAnsi="仿宋_GB2312" w:eastAsia="仿宋_GB2312" w:cs="仿宋_GB2312"/>
          <w:color w:val="333333"/>
          <w:sz w:val="32"/>
          <w:szCs w:val="32"/>
          <w:shd w:val="clear" w:color="auto" w:fill="FFFFFF"/>
        </w:rPr>
      </w:pPr>
    </w:p>
    <w:p>
      <w:pPr>
        <w:widowControl/>
        <w:spacing w:after="188" w:line="560" w:lineRule="exact"/>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三、收到和处理政府信息公开申请情况</w:t>
      </w:r>
    </w:p>
    <w:p>
      <w:pPr>
        <w:pStyle w:val="2"/>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全年收到政府信息公开申请0件。</w:t>
      </w:r>
    </w:p>
    <w:tbl>
      <w:tblPr>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0"/>
        <w:gridCol w:w="1080"/>
        <w:gridCol w:w="2520"/>
        <w:gridCol w:w="840"/>
        <w:gridCol w:w="800"/>
        <w:gridCol w:w="693"/>
        <w:gridCol w:w="826"/>
        <w:gridCol w:w="813"/>
        <w:gridCol w:w="720"/>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bdr w:val="none" w:color="auto" w:sz="0" w:space="0"/>
                <w:lang w:val="en-US" w:eastAsia="zh-CN" w:bidi="ar"/>
              </w:rPr>
              <w:t>（本列数据的勾稽关系为：第一项加第二项之和，等于第三项加第四项之和）</w:t>
            </w:r>
          </w:p>
        </w:tc>
        <w:tc>
          <w:tcPr>
            <w:tcW w:w="5465" w:type="dxa"/>
            <w:gridSpan w:val="7"/>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自然人</w:t>
            </w:r>
          </w:p>
        </w:tc>
        <w:tc>
          <w:tcPr>
            <w:tcW w:w="3852" w:type="dxa"/>
            <w:gridSpan w:val="5"/>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法人或其他组织</w:t>
            </w:r>
          </w:p>
        </w:tc>
        <w:tc>
          <w:tcPr>
            <w:tcW w:w="773"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0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商业</w:t>
            </w:r>
          </w:p>
        </w:tc>
        <w:tc>
          <w:tcPr>
            <w:tcW w:w="693"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科研</w:t>
            </w:r>
          </w:p>
        </w:tc>
        <w:tc>
          <w:tcPr>
            <w:tcW w:w="826"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公益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组织</w:t>
            </w:r>
          </w:p>
        </w:tc>
        <w:tc>
          <w:tcPr>
            <w:tcW w:w="813"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72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w:t>
            </w:r>
          </w:p>
        </w:tc>
        <w:tc>
          <w:tcPr>
            <w:tcW w:w="77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24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826"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1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7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424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一、本年新收政府信息公开申请数量</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24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二、上年结转政府信息公开申请数量</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40"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三、本年度办理结果</w:t>
            </w:r>
          </w:p>
        </w:tc>
        <w:tc>
          <w:tcPr>
            <w:tcW w:w="360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（一）予以公开</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60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（二）部分公开</w:t>
            </w:r>
            <w:r>
              <w:rPr>
                <w:rFonts w:hint="eastAsia" w:ascii="楷体" w:hAnsi="楷体" w:eastAsia="楷体" w:cs="楷体"/>
                <w:i w:val="0"/>
                <w:iCs w:val="0"/>
                <w:color w:val="000000"/>
                <w:kern w:val="0"/>
                <w:sz w:val="20"/>
                <w:szCs w:val="20"/>
                <w:u w:val="none"/>
                <w:bdr w:val="none" w:color="auto" w:sz="0" w:space="0"/>
                <w:lang w:val="en-US" w:eastAsia="zh-CN" w:bidi="ar"/>
              </w:rPr>
              <w:t>（区分处理的，只计这一情形，不计其他情形）</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（三）不予公开</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1.属于国家秘密</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2.其他法律行政法规禁止公开</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3.危及“三安全一稳定”</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auto" w:sz="4"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4.保护第三方合法权益</w:t>
            </w:r>
          </w:p>
        </w:tc>
        <w:tc>
          <w:tcPr>
            <w:tcW w:w="84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auto" w:sz="4"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single" w:color="auto" w:sz="4" w:space="0"/>
              <w:bottom w:val="single" w:color="auto" w:sz="4"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5.属于三类内部事务信息</w:t>
            </w:r>
          </w:p>
        </w:tc>
        <w:tc>
          <w:tcPr>
            <w:tcW w:w="84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6.属于四类过程性信息</w:t>
            </w:r>
          </w:p>
        </w:tc>
        <w:tc>
          <w:tcPr>
            <w:tcW w:w="84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7.属于行政执法案卷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8.属于行政查询事项</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（四）无法提供</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1.本机关不掌握相关政府信息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2.没有现成信息需要另行制作</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3.补正后申请内容仍不明确</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（五）不予处理</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1.信访举报投诉类申请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2.重复申请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3.要求提供公开出版物</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4.无正当理由大量反复申请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5.要求行政机关确认或重新出具已获取信息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（六）其他处理</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1.申请人无正当理由逾期不补正、行政机关不再处理其政府信息公开申请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2.申请人逾期未按收费通知要求缴纳费用、行政机关不再处理其政府信息公开申请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3.其他</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60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（七）总计</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四、结转下年度继续办理</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bl>
    <w:p>
      <w:pPr>
        <w:pStyle w:val="2"/>
        <w:ind w:firstLine="640"/>
        <w:rPr>
          <w:rFonts w:hint="eastAsia" w:ascii="仿宋_GB2312" w:hAnsi="仿宋_GB2312" w:eastAsia="仿宋_GB2312" w:cs="仿宋_GB2312"/>
          <w:color w:val="333333"/>
          <w:sz w:val="32"/>
          <w:szCs w:val="32"/>
          <w:shd w:val="clear" w:color="auto" w:fill="FFFFFF"/>
        </w:rPr>
      </w:pPr>
    </w:p>
    <w:p>
      <w:pPr>
        <w:widowControl/>
        <w:shd w:val="clear" w:color="auto" w:fill="FFFFFF"/>
        <w:spacing w:line="560" w:lineRule="exact"/>
        <w:jc w:val="lef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四、</w:t>
      </w:r>
      <w:r>
        <w:rPr>
          <w:rFonts w:hint="eastAsia" w:ascii="黑体" w:hAnsi="黑体" w:eastAsia="黑体" w:cs="黑体"/>
          <w:color w:val="333333"/>
          <w:sz w:val="32"/>
          <w:szCs w:val="32"/>
          <w:shd w:val="clear" w:color="auto" w:fill="FFFFFF"/>
        </w:rPr>
        <w:t>因政府信息公开工作被申请行政复议、提起行政诉讼情况</w:t>
      </w:r>
    </w:p>
    <w:p>
      <w:pPr>
        <w:pStyle w:val="2"/>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全年在依申请公开受理工作中引发行政复议及行政诉讼0件。</w:t>
      </w:r>
    </w:p>
    <w:p>
      <w:pPr>
        <w:pStyle w:val="2"/>
        <w:ind w:firstLine="640"/>
        <w:rPr>
          <w:rFonts w:hint="eastAsia" w:ascii="仿宋_GB2312" w:hAnsi="仿宋_GB2312" w:eastAsia="仿宋_GB2312" w:cs="仿宋_GB2312"/>
          <w:color w:val="333333"/>
          <w:sz w:val="32"/>
          <w:szCs w:val="32"/>
          <w:shd w:val="clear" w:color="auto" w:fill="FFFFFF"/>
        </w:rPr>
      </w:pPr>
    </w:p>
    <w:tbl>
      <w:tblPr>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0"/>
        <w:gridCol w:w="1080"/>
        <w:gridCol w:w="2520"/>
        <w:gridCol w:w="840"/>
        <w:gridCol w:w="800"/>
        <w:gridCol w:w="693"/>
        <w:gridCol w:w="826"/>
        <w:gridCol w:w="813"/>
        <w:gridCol w:w="720"/>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bdr w:val="none" w:color="auto" w:sz="0" w:space="0"/>
                <w:lang w:val="en-US" w:eastAsia="zh-CN" w:bidi="ar"/>
              </w:rPr>
              <w:t>（本列数据的勾稽关系为：第一项加第二项之和，等于第三项加第四项之和）</w:t>
            </w:r>
          </w:p>
        </w:tc>
        <w:tc>
          <w:tcPr>
            <w:tcW w:w="5465" w:type="dxa"/>
            <w:gridSpan w:val="7"/>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自然人</w:t>
            </w:r>
          </w:p>
        </w:tc>
        <w:tc>
          <w:tcPr>
            <w:tcW w:w="3852" w:type="dxa"/>
            <w:gridSpan w:val="5"/>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法人或其他组织</w:t>
            </w:r>
          </w:p>
        </w:tc>
        <w:tc>
          <w:tcPr>
            <w:tcW w:w="773"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0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商业</w:t>
            </w:r>
          </w:p>
        </w:tc>
        <w:tc>
          <w:tcPr>
            <w:tcW w:w="693"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科研</w:t>
            </w:r>
          </w:p>
        </w:tc>
        <w:tc>
          <w:tcPr>
            <w:tcW w:w="826"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公益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组织</w:t>
            </w:r>
          </w:p>
        </w:tc>
        <w:tc>
          <w:tcPr>
            <w:tcW w:w="813"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72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w:t>
            </w:r>
          </w:p>
        </w:tc>
        <w:tc>
          <w:tcPr>
            <w:tcW w:w="77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240" w:type="dxa"/>
            <w:gridSpan w:val="3"/>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楷体" w:hAnsi="楷体" w:eastAsia="楷体" w:cs="楷体"/>
                <w:i w:val="0"/>
                <w:iCs w:val="0"/>
                <w:color w:val="000000"/>
                <w:sz w:val="20"/>
                <w:szCs w:val="20"/>
                <w:u w:val="none"/>
              </w:rPr>
            </w:pPr>
          </w:p>
        </w:tc>
        <w:tc>
          <w:tcPr>
            <w:tcW w:w="84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机构</w:t>
            </w:r>
          </w:p>
        </w:tc>
        <w:tc>
          <w:tcPr>
            <w:tcW w:w="826"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81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773"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424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一、本年新收政府信息公开申请数量</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24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二、上年结转政府信息公开申请数量</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40"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三、本年度办理结果</w:t>
            </w:r>
          </w:p>
        </w:tc>
        <w:tc>
          <w:tcPr>
            <w:tcW w:w="360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（一）予以公开</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60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（二）部分公开</w:t>
            </w:r>
            <w:r>
              <w:rPr>
                <w:rFonts w:hint="eastAsia" w:ascii="楷体" w:hAnsi="楷体" w:eastAsia="楷体" w:cs="楷体"/>
                <w:i w:val="0"/>
                <w:iCs w:val="0"/>
                <w:color w:val="000000"/>
                <w:kern w:val="0"/>
                <w:sz w:val="20"/>
                <w:szCs w:val="20"/>
                <w:u w:val="none"/>
                <w:bdr w:val="none" w:color="auto" w:sz="0" w:space="0"/>
                <w:lang w:val="en-US" w:eastAsia="zh-CN" w:bidi="ar"/>
              </w:rPr>
              <w:t>（区分处理的，只计这一情形，不计其他情形）</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（三）不予公开</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1.属于国家秘密</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2.其他法律行政法规禁止公开</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3.危及“三安全一稳定”</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4.保护第三方合法权益</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5.属于三类内部事务信息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6.属于四类过程性信息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7.属于行政执法案卷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8.属于行政查询事项</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（四）无法提供</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1.本机关不掌握相关政府信息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2.没有现成信息需要另行制作</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3.补正后申请内容仍不明确</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（五）不予处理</w:t>
            </w: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1.信访举报投诉类申请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2.重复申请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3.要求提供公开出版物</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4.无正当理由大量反复申请</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5.要求行政机关确认或重新出具已获取信息</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（六）其他处理</w:t>
            </w:r>
          </w:p>
        </w:tc>
        <w:tc>
          <w:tcPr>
            <w:tcW w:w="2520" w:type="dxa"/>
            <w:tcBorders>
              <w:top w:val="nil"/>
              <w:left w:val="nil"/>
              <w:bottom w:val="single" w:color="auto" w:sz="4"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1.申请人无正当理由逾期不补正、行政机关不再处理其政府信息公开申请</w:t>
            </w:r>
          </w:p>
        </w:tc>
        <w:tc>
          <w:tcPr>
            <w:tcW w:w="84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auto" w:sz="4"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single" w:color="auto" w:sz="4" w:space="0"/>
              <w:left w:val="single" w:color="auto" w:sz="4"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2.申请人逾期未按收费通知要求缴纳费用、行政机关不再处理其政府信息公开申请</w:t>
            </w:r>
          </w:p>
        </w:tc>
        <w:tc>
          <w:tcPr>
            <w:tcW w:w="84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single" w:color="auto" w:sz="4"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single" w:color="auto" w:sz="4" w:space="0"/>
              <w:left w:val="nil"/>
              <w:bottom w:val="single" w:color="000000" w:sz="8" w:space="0"/>
              <w:right w:val="single" w:color="auto" w:sz="4"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8" w:space="0"/>
              <w:right w:val="single" w:color="auto" w:sz="4" w:space="0"/>
            </w:tcBorders>
            <w:shd w:val="clear"/>
            <w:vAlign w:val="center"/>
          </w:tcPr>
          <w:p>
            <w:pPr>
              <w:jc w:val="left"/>
              <w:rPr>
                <w:rFonts w:hint="eastAsia" w:ascii="宋体" w:hAnsi="宋体" w:eastAsia="宋体" w:cs="宋体"/>
                <w:i w:val="0"/>
                <w:iCs w:val="0"/>
                <w:color w:val="000000"/>
                <w:sz w:val="20"/>
                <w:szCs w:val="20"/>
                <w:u w:val="none"/>
              </w:rPr>
            </w:pPr>
          </w:p>
        </w:tc>
        <w:tc>
          <w:tcPr>
            <w:tcW w:w="2520" w:type="dxa"/>
            <w:tcBorders>
              <w:top w:val="nil"/>
              <w:left w:val="single" w:color="auto" w:sz="4" w:space="0"/>
              <w:bottom w:val="single" w:color="auto" w:sz="4"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3.其他</w:t>
            </w:r>
          </w:p>
        </w:tc>
        <w:tc>
          <w:tcPr>
            <w:tcW w:w="84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0"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0"/>
                <w:szCs w:val="20"/>
                <w:u w:val="none"/>
              </w:rPr>
            </w:pPr>
          </w:p>
        </w:tc>
        <w:tc>
          <w:tcPr>
            <w:tcW w:w="360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（七）总计</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240"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四、结转下年度继续办理</w:t>
            </w:r>
          </w:p>
        </w:tc>
        <w:tc>
          <w:tcPr>
            <w:tcW w:w="84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69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26"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81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c>
          <w:tcPr>
            <w:tcW w:w="773"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等线" w:cs="Calibri"/>
                <w:i w:val="0"/>
                <w:iCs w:val="0"/>
                <w:color w:val="000000"/>
                <w:sz w:val="20"/>
                <w:szCs w:val="20"/>
                <w:u w:val="none"/>
              </w:rPr>
            </w:pPr>
            <w:r>
              <w:rPr>
                <w:rFonts w:hint="default" w:ascii="Calibri" w:hAnsi="Calibri" w:eastAsia="等线" w:cs="Calibri"/>
                <w:i w:val="0"/>
                <w:iCs w:val="0"/>
                <w:color w:val="000000"/>
                <w:kern w:val="0"/>
                <w:sz w:val="20"/>
                <w:szCs w:val="20"/>
                <w:u w:val="none"/>
                <w:bdr w:val="none" w:color="auto" w:sz="0" w:space="0"/>
                <w:lang w:val="en-US" w:eastAsia="zh-CN" w:bidi="ar"/>
              </w:rPr>
              <w:t>0</w:t>
            </w:r>
          </w:p>
        </w:tc>
      </w:tr>
    </w:tbl>
    <w:p>
      <w:pPr>
        <w:pStyle w:val="2"/>
        <w:ind w:firstLine="640"/>
        <w:rPr>
          <w:rFonts w:hint="eastAsia" w:ascii="仿宋_GB2312" w:hAnsi="仿宋_GB2312" w:eastAsia="仿宋_GB2312" w:cs="仿宋_GB2312"/>
          <w:color w:val="333333"/>
          <w:sz w:val="32"/>
          <w:szCs w:val="32"/>
          <w:shd w:val="clear" w:color="auto" w:fill="FFFFFF"/>
        </w:rPr>
      </w:pPr>
    </w:p>
    <w:p>
      <w:pPr>
        <w:pStyle w:val="2"/>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宋体" w:hAnsi="宋体" w:eastAsia="黑体" w:cs="宋体"/>
          <w:color w:val="333333"/>
          <w:kern w:val="0"/>
          <w:sz w:val="32"/>
          <w:szCs w:val="32"/>
        </w:rPr>
      </w:pPr>
      <w:r>
        <w:rPr>
          <w:rFonts w:hint="eastAsia" w:ascii="宋体" w:hAnsi="宋体" w:eastAsia="黑体" w:cs="宋体"/>
          <w:color w:val="333333"/>
          <w:kern w:val="0"/>
          <w:sz w:val="32"/>
          <w:szCs w:val="32"/>
        </w:rPr>
        <w:t>五、存在的主要问题及改进情况</w:t>
      </w:r>
    </w:p>
    <w:p>
      <w:pPr>
        <w:widowControl/>
        <w:shd w:val="clear" w:color="auto" w:fill="FFFFFF"/>
        <w:spacing w:line="560" w:lineRule="exact"/>
        <w:ind w:firstLine="697" w:firstLineChars="21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2021年，松北区审计局严格按照政务公开工作要求开展各项工作，并取得一定的成效，但距离上级要求还存在一定差距，政务公开质量有待进一步提升。</w:t>
      </w:r>
    </w:p>
    <w:p>
      <w:pPr>
        <w:widowControl/>
        <w:shd w:val="clear" w:color="auto" w:fill="FFFFFF"/>
        <w:spacing w:line="560" w:lineRule="exact"/>
        <w:ind w:firstLine="538"/>
        <w:jc w:val="left"/>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在今后工作中，松北区审计局将继续加强政务信息公开工作的管理。</w:t>
      </w:r>
      <w:r>
        <w:rPr>
          <w:rFonts w:hint="eastAsia" w:ascii="仿宋_GB2312" w:hAnsi="宋体" w:eastAsia="仿宋_GB2312" w:cs="宋体"/>
          <w:b/>
          <w:bCs/>
          <w:color w:val="333333"/>
          <w:kern w:val="0"/>
          <w:sz w:val="32"/>
          <w:szCs w:val="32"/>
        </w:rPr>
        <w:t>一是</w:t>
      </w:r>
      <w:r>
        <w:rPr>
          <w:rFonts w:hint="eastAsia" w:ascii="仿宋_GB2312" w:hAnsi="宋体" w:eastAsia="仿宋_GB2312" w:cs="宋体"/>
          <w:color w:val="333333"/>
          <w:kern w:val="0"/>
          <w:sz w:val="32"/>
          <w:szCs w:val="32"/>
        </w:rPr>
        <w:t>要进一步明确责任。确保政务信息公开工作由局主要领导负全责、分管领导具体抓、办公室承办、相关科室共同参与，明确工作办理时限。</w:t>
      </w:r>
      <w:r>
        <w:rPr>
          <w:rFonts w:hint="eastAsia" w:ascii="仿宋_GB2312" w:hAnsi="宋体" w:eastAsia="仿宋_GB2312" w:cs="宋体"/>
          <w:b/>
          <w:bCs/>
          <w:color w:val="333333"/>
          <w:kern w:val="0"/>
          <w:sz w:val="32"/>
          <w:szCs w:val="32"/>
        </w:rPr>
        <w:t>二是</w:t>
      </w:r>
      <w:r>
        <w:rPr>
          <w:rFonts w:hint="eastAsia" w:ascii="仿宋_GB2312" w:hAnsi="宋体" w:eastAsia="仿宋_GB2312" w:cs="宋体"/>
          <w:color w:val="333333"/>
          <w:kern w:val="0"/>
          <w:sz w:val="32"/>
          <w:szCs w:val="32"/>
        </w:rPr>
        <w:t>建立健全制度。完善政务信息公开工作相关制度。完善信息公开申请的接收、登记、审核、办理、答复、归档工作制度。</w:t>
      </w:r>
      <w:r>
        <w:rPr>
          <w:rFonts w:hint="eastAsia" w:ascii="仿宋_GB2312" w:hAnsi="宋体" w:eastAsia="仿宋_GB2312" w:cs="宋体"/>
          <w:b/>
          <w:bCs/>
          <w:color w:val="333333"/>
          <w:kern w:val="0"/>
          <w:sz w:val="32"/>
          <w:szCs w:val="32"/>
        </w:rPr>
        <w:t>三是</w:t>
      </w:r>
      <w:r>
        <w:rPr>
          <w:rFonts w:hint="eastAsia" w:ascii="仿宋_GB2312" w:hAnsi="宋体" w:eastAsia="仿宋_GB2312" w:cs="宋体"/>
          <w:color w:val="333333"/>
          <w:kern w:val="0"/>
          <w:sz w:val="32"/>
          <w:szCs w:val="32"/>
        </w:rPr>
        <w:t>丰富公开形式，及时、全面、准确地向社会公开各项优惠政策，提供优质政策咨询服务。</w:t>
      </w:r>
    </w:p>
    <w:p>
      <w:pPr>
        <w:widowControl/>
        <w:shd w:val="clear" w:color="auto" w:fill="FFFFFF"/>
        <w:spacing w:line="560" w:lineRule="exact"/>
        <w:jc w:val="left"/>
        <w:rPr>
          <w:rFonts w:ascii="宋体" w:hAnsi="宋体" w:eastAsia="黑体" w:cs="宋体"/>
          <w:color w:val="333333"/>
          <w:kern w:val="0"/>
          <w:sz w:val="32"/>
          <w:szCs w:val="32"/>
        </w:rPr>
      </w:pPr>
      <w:r>
        <w:rPr>
          <w:rFonts w:hint="eastAsia" w:ascii="宋体" w:hAnsi="宋体" w:eastAsia="黑体" w:cs="宋体"/>
          <w:color w:val="333333"/>
          <w:kern w:val="0"/>
          <w:sz w:val="32"/>
          <w:szCs w:val="32"/>
        </w:rPr>
        <w:t xml:space="preserve">    六、其他需要报告的事项</w:t>
      </w:r>
    </w:p>
    <w:p>
      <w:pPr>
        <w:widowControl/>
        <w:shd w:val="clear" w:color="auto" w:fill="FFFFFF"/>
        <w:spacing w:line="560" w:lineRule="exact"/>
        <w:ind w:firstLine="720" w:firstLineChars="22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2021年度，我局无其他需要报告的事项。</w:t>
      </w:r>
    </w:p>
    <w:p>
      <w:pPr>
        <w:pStyle w:val="2"/>
        <w:spacing w:after="0" w:line="560" w:lineRule="exact"/>
      </w:pPr>
    </w:p>
    <w:p>
      <w:pPr>
        <w:widowControl/>
        <w:spacing w:line="560" w:lineRule="exact"/>
        <w:ind w:firstLine="4320" w:firstLineChars="1350"/>
        <w:rPr>
          <w:rFonts w:ascii="仿宋_GB2312" w:hAnsi="宋体" w:eastAsia="仿宋_GB2312" w:cs="宋体"/>
          <w:kern w:val="0"/>
          <w:sz w:val="32"/>
          <w:szCs w:val="32"/>
        </w:rPr>
      </w:pPr>
      <w:r>
        <w:rPr>
          <w:rFonts w:hint="eastAsia" w:ascii="仿宋_GB2312" w:hAnsi="宋体" w:eastAsia="仿宋_GB2312" w:cs="宋体"/>
          <w:color w:val="333333"/>
          <w:kern w:val="0"/>
          <w:sz w:val="32"/>
          <w:szCs w:val="32"/>
        </w:rPr>
        <w:t xml:space="preserve">   </w:t>
      </w:r>
      <w:bookmarkStart w:id="0" w:name="_GoBack"/>
      <w:bookmarkEnd w:id="0"/>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46"/>
    <w:rsid w:val="00087D8C"/>
    <w:rsid w:val="000907D7"/>
    <w:rsid w:val="000B3DDF"/>
    <w:rsid w:val="000F3EB2"/>
    <w:rsid w:val="001150CB"/>
    <w:rsid w:val="00120E87"/>
    <w:rsid w:val="00126293"/>
    <w:rsid w:val="001322E3"/>
    <w:rsid w:val="00157563"/>
    <w:rsid w:val="00194126"/>
    <w:rsid w:val="0019522F"/>
    <w:rsid w:val="0022056F"/>
    <w:rsid w:val="00223282"/>
    <w:rsid w:val="00362CB8"/>
    <w:rsid w:val="003B6E2B"/>
    <w:rsid w:val="003C4CCE"/>
    <w:rsid w:val="003E4C7E"/>
    <w:rsid w:val="003F55CD"/>
    <w:rsid w:val="004D1EDE"/>
    <w:rsid w:val="0052068E"/>
    <w:rsid w:val="005458A5"/>
    <w:rsid w:val="005673E8"/>
    <w:rsid w:val="005A1E10"/>
    <w:rsid w:val="006118EA"/>
    <w:rsid w:val="00622C73"/>
    <w:rsid w:val="006254A0"/>
    <w:rsid w:val="00665ECC"/>
    <w:rsid w:val="006E3962"/>
    <w:rsid w:val="007221D4"/>
    <w:rsid w:val="007F3F4A"/>
    <w:rsid w:val="00873CA1"/>
    <w:rsid w:val="00915B35"/>
    <w:rsid w:val="00917016"/>
    <w:rsid w:val="00945547"/>
    <w:rsid w:val="00951308"/>
    <w:rsid w:val="0095493A"/>
    <w:rsid w:val="009B15D1"/>
    <w:rsid w:val="00A1106E"/>
    <w:rsid w:val="00A27E23"/>
    <w:rsid w:val="00A74546"/>
    <w:rsid w:val="00AD7F35"/>
    <w:rsid w:val="00AE68FF"/>
    <w:rsid w:val="00C20CDA"/>
    <w:rsid w:val="00D06617"/>
    <w:rsid w:val="00DA0BB9"/>
    <w:rsid w:val="00E06DB2"/>
    <w:rsid w:val="00E84A54"/>
    <w:rsid w:val="00EB6168"/>
    <w:rsid w:val="00ED5EEC"/>
    <w:rsid w:val="00EF77A8"/>
    <w:rsid w:val="00F20359"/>
    <w:rsid w:val="00F26398"/>
    <w:rsid w:val="00F71225"/>
    <w:rsid w:val="00F91F20"/>
    <w:rsid w:val="00F936A3"/>
    <w:rsid w:val="00FC4699"/>
    <w:rsid w:val="0D051AEA"/>
    <w:rsid w:val="12591DC7"/>
    <w:rsid w:val="145F2C31"/>
    <w:rsid w:val="18434D45"/>
    <w:rsid w:val="2B5D421E"/>
    <w:rsid w:val="3172522D"/>
    <w:rsid w:val="32F20F3D"/>
    <w:rsid w:val="33452BAA"/>
    <w:rsid w:val="38297AD2"/>
    <w:rsid w:val="429E631C"/>
    <w:rsid w:val="64CE08EF"/>
    <w:rsid w:val="68EA072F"/>
    <w:rsid w:val="70630393"/>
    <w:rsid w:val="70C20A9E"/>
    <w:rsid w:val="77896487"/>
    <w:rsid w:val="7ABC4475"/>
    <w:rsid w:val="7BD215B2"/>
    <w:rsid w:val="7CDB3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font21"/>
    <w:basedOn w:val="8"/>
    <w:uiPriority w:val="0"/>
    <w:rPr>
      <w:rFonts w:hint="eastAsia" w:ascii="宋体" w:hAnsi="宋体" w:eastAsia="宋体" w:cs="宋体"/>
      <w:color w:val="000000"/>
      <w:sz w:val="20"/>
      <w:szCs w:val="20"/>
      <w:u w:val="none"/>
    </w:rPr>
  </w:style>
  <w:style w:type="character" w:customStyle="1" w:styleId="12">
    <w:name w:val="font01"/>
    <w:basedOn w:val="8"/>
    <w:uiPriority w:val="0"/>
    <w:rPr>
      <w:rFonts w:ascii="Calibri" w:hAnsi="Calibri" w:cs="Calibri"/>
      <w:color w:val="000000"/>
      <w:sz w:val="20"/>
      <w:szCs w:val="20"/>
      <w:u w:val="none"/>
    </w:rPr>
  </w:style>
  <w:style w:type="character" w:customStyle="1" w:styleId="13">
    <w:name w:val="font1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147</Words>
  <Characters>842</Characters>
  <Lines>7</Lines>
  <Paragraphs>1</Paragraphs>
  <TotalTime>5</TotalTime>
  <ScaleCrop>false</ScaleCrop>
  <LinksUpToDate>false</LinksUpToDate>
  <CharactersWithSpaces>988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2022-01-18T09:17:00Z</dcterms:created>
  <dc:creator>李一鸣</dc:creator>
  <cp:lastModifiedBy>徐湛</cp:lastModifiedBy>
  <cp:lastPrinted>2021-01-15T06:27:00Z</cp:lastPrinted>
  <dcterms:modified xsi:type="dcterms:W3CDTF">2022-01-28T07:08:16Z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13F18A2D1F304DFAA94F69C124E3D981</vt:lpwstr>
  </property>
</Properties>
</file>