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松北区企业和投资服务局202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44"/>
          <w:szCs w:val="44"/>
        </w:rPr>
        <w:t>年政府信息公开工作年度报告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spacing w:before="54" w:after="54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年度报告根据《中华人民共和国政府信息公开条例》（以下简称《条例》）有关规定，由松北区企业和投资服务局编制而成。本年度报告所列数据的统计期限为2021年1月1日至12月31日。本年度报告包括总体情况、行政机关主动公开政府信息情况、行政机关收到和处理政府信息公开申请情况、因政府信息公开工作被申请复议提起行政诉讼情况。如对本年报有疑问，请与松北区企业和投资服务局办公室联系（地址：哈尔滨市松北区创新一路618号，邮编：150028，联系电话：0451-88103292）。</w:t>
      </w:r>
    </w:p>
    <w:p>
      <w:pPr>
        <w:widowControl/>
        <w:spacing w:before="54" w:after="54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一、总体情况</w:t>
      </w:r>
    </w:p>
    <w:p>
      <w:pPr>
        <w:widowControl/>
        <w:spacing w:before="54" w:after="54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年，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区投资服务局</w:t>
      </w:r>
      <w:r>
        <w:rPr>
          <w:rFonts w:ascii="仿宋" w:hAnsi="仿宋" w:eastAsia="仿宋" w:cs="宋体"/>
          <w:kern w:val="0"/>
          <w:sz w:val="32"/>
          <w:szCs w:val="32"/>
        </w:rPr>
        <w:t>认真贯彻落实《条例》，坚持“公开为常态，不公开为例外”要求，全面落实信息公开条例，加大政府信息公开力度，积极回应社会关切，深入推进重点领域信息公开，切实提高政府信息公开实效，全力推进政府信息公开工作。</w:t>
      </w:r>
      <w:r>
        <w:rPr>
          <w:rFonts w:hint="eastAsia" w:ascii="仿宋" w:hAnsi="仿宋" w:eastAsia="仿宋" w:cs="宋体"/>
          <w:kern w:val="0"/>
          <w:sz w:val="32"/>
          <w:szCs w:val="32"/>
        </w:rPr>
        <w:t>积极</w:t>
      </w:r>
      <w:r>
        <w:rPr>
          <w:rFonts w:ascii="仿宋" w:hAnsi="仿宋" w:eastAsia="仿宋" w:cs="宋体"/>
          <w:kern w:val="0"/>
          <w:sz w:val="32"/>
          <w:szCs w:val="32"/>
        </w:rPr>
        <w:t>推进涉企政策信息公开。对新制定的涉企政策，及时通过政府网站和政务新媒体公开，同时，做好政策解读工作。</w:t>
      </w:r>
    </w:p>
    <w:p>
      <w:pPr>
        <w:widowControl/>
        <w:spacing w:before="54" w:after="54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二、主动公开政府信息情况</w:t>
      </w:r>
    </w:p>
    <w:p>
      <w:pPr>
        <w:widowControl/>
        <w:spacing w:before="54" w:after="54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全年主动公开各类政府信息</w:t>
      </w:r>
      <w:r>
        <w:rPr>
          <w:rFonts w:hint="eastAsia" w:ascii="仿宋" w:hAnsi="仿宋" w:eastAsia="仿宋" w:cs="宋体"/>
          <w:kern w:val="0"/>
          <w:sz w:val="32"/>
          <w:szCs w:val="32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条。</w:t>
      </w:r>
    </w:p>
    <w:p>
      <w:pPr>
        <w:widowControl/>
        <w:spacing w:before="54" w:after="54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110"/>
        <w:gridCol w:w="2274"/>
        <w:gridCol w:w="2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23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制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发件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133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121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12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12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3790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379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widowControl/>
        <w:spacing w:before="54" w:after="54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54" w:after="54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三、收到和处理政府信息公开申请情况</w:t>
      </w:r>
    </w:p>
    <w:p>
      <w:pPr>
        <w:widowControl/>
        <w:spacing w:before="54" w:after="54"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全年区政府本级收到政府信息公开申请0件。</w:t>
      </w:r>
    </w:p>
    <w:tbl>
      <w:tblPr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80"/>
        <w:gridCol w:w="2520"/>
        <w:gridCol w:w="840"/>
        <w:gridCol w:w="795"/>
        <w:gridCol w:w="690"/>
        <w:gridCol w:w="825"/>
        <w:gridCol w:w="810"/>
        <w:gridCol w:w="72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商业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组织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widowControl/>
        <w:spacing w:before="54" w:after="54"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54" w:after="54"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54" w:after="54"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54" w:after="54"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54" w:after="54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四、因政府信息公开工作被申请行政复议、提起行政诉讼情况</w:t>
      </w:r>
    </w:p>
    <w:p>
      <w:pPr>
        <w:widowControl/>
        <w:spacing w:before="54" w:after="54"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全年在依申请公开受理工作中引发行政复议0件。</w:t>
      </w:r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601"/>
        <w:gridCol w:w="601"/>
        <w:gridCol w:w="602"/>
        <w:gridCol w:w="491"/>
        <w:gridCol w:w="602"/>
        <w:gridCol w:w="602"/>
        <w:gridCol w:w="602"/>
        <w:gridCol w:w="602"/>
        <w:gridCol w:w="605"/>
        <w:gridCol w:w="602"/>
        <w:gridCol w:w="602"/>
        <w:gridCol w:w="568"/>
        <w:gridCol w:w="458"/>
        <w:gridCol w:w="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0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3339" w:type="pct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3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</w:p>
        </w:tc>
        <w:tc>
          <w:tcPr>
            <w:tcW w:w="28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1767" w:type="pct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1571" w:type="pct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果 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结 </w:t>
            </w:r>
          </w:p>
        </w:tc>
        <w:tc>
          <w:tcPr>
            <w:tcW w:w="35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</w:t>
            </w:r>
          </w:p>
        </w:tc>
        <w:tc>
          <w:tcPr>
            <w:tcW w:w="33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26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</w:t>
            </w:r>
          </w:p>
        </w:tc>
        <w:tc>
          <w:tcPr>
            <w:tcW w:w="26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widowControl/>
        <w:spacing w:before="54" w:after="54"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五、政府信息公开工作存在的主要问题及改进情况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（一）工作中存在的主要问题。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一是我局政府信息公开发布机制需进一步修改完善。二是我局政府信息公开的数量、政策解读工作等方面还需进一步改进。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（二）具体的解决办法和改进措施。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2022年，企投局会继续加强政务信息公开工作的管理。一是要提高认识，明确责任。确保政务信息公开工作由局主要领导负全责、分管领导具体抓、办公室承办、相关科室共同参与，明确工作办理时限。二是整章建制。健全政务信息公开工作制度。完善信息公开申请的接收、登记、审核、办理、答复、归档工作制度。三是进一步提高信息公开更新频率，加强政策解读力度。结合工作实际，加强对属于主动公开的，涉及面广、社会关注度高的领域政策文件的解读。对各类信息公开的内容进行进一步规范和梳理，不断提高我局政府信息公开质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六、其他需要报告的事项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我局无其他需要报告的事项。</w:t>
      </w:r>
    </w:p>
    <w:p>
      <w:pPr>
        <w:spacing w:line="560" w:lineRule="exact"/>
        <w:ind w:left="2310" w:leftChars="110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0059193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  <w:jc w:val="right"/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1 -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0059194"/>
      <w:docPartObj>
        <w:docPartGallery w:val="autotext"/>
      </w:docPartObj>
    </w:sdtPr>
    <w:sdtContent>
      <w:p>
        <w:pPr>
          <w:pStyle w:val="2"/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2 -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F120CB"/>
    <w:rsid w:val="0000369E"/>
    <w:rsid w:val="000D587A"/>
    <w:rsid w:val="00111581"/>
    <w:rsid w:val="001977E9"/>
    <w:rsid w:val="001A4D76"/>
    <w:rsid w:val="00425283"/>
    <w:rsid w:val="0055009D"/>
    <w:rsid w:val="00567F7A"/>
    <w:rsid w:val="005B04A6"/>
    <w:rsid w:val="006B5B67"/>
    <w:rsid w:val="00715DED"/>
    <w:rsid w:val="007906DD"/>
    <w:rsid w:val="00845A00"/>
    <w:rsid w:val="00A52123"/>
    <w:rsid w:val="00BF2A77"/>
    <w:rsid w:val="00C92EF7"/>
    <w:rsid w:val="00D775C1"/>
    <w:rsid w:val="00E05F7C"/>
    <w:rsid w:val="00E07193"/>
    <w:rsid w:val="00F120CB"/>
    <w:rsid w:val="00F63A64"/>
    <w:rsid w:val="00F74038"/>
    <w:rsid w:val="2296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font1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6"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12">
    <w:name w:val="font21"/>
    <w:basedOn w:val="6"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</Company>
  <Pages>2</Pages>
  <Words>89</Words>
  <Characters>513</Characters>
  <Lines>4</Lines>
  <Paragraphs>1</Paragraphs>
  <TotalTime>50</TotalTime>
  <ScaleCrop>false</ScaleCrop>
  <LinksUpToDate>false</LinksUpToDate>
  <CharactersWithSpaces>601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2022-01-20T07:36:00Z</dcterms:created>
  <dc:creator>政府办</dc:creator>
  <cp:lastModifiedBy>徐湛</cp:lastModifiedBy>
  <dcterms:modified xsi:type="dcterms:W3CDTF">2022-01-28T09:44:28Z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FD94E76A938B40CEB5DCE67418F7676C</vt:lpwstr>
  </property>
</Properties>
</file>