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B29" w:rsidRDefault="00307252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松北区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营商环境建设监督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局</w:t>
      </w:r>
    </w:p>
    <w:p w:rsidR="003F0B29" w:rsidRDefault="00307252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年政府信息公开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工作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报告</w:t>
      </w:r>
    </w:p>
    <w:p w:rsidR="003F0B29" w:rsidRDefault="003F0B29">
      <w:pPr>
        <w:widowControl/>
        <w:spacing w:line="560" w:lineRule="exact"/>
        <w:ind w:firstLine="538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3F0B29" w:rsidRDefault="0030725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年报根据《中华人民共和国政府信息公开条例》要求编制。全文包括总体情况、主动公开政府信息情况、收到和处理政府信息公开申请情况、政府信息公开行政复议、行政诉讼情况、存在的主要问题及改进情况和其他需要报告的事项共六个部分。本年报中所列数据的统计期限自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日起至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日止。如对本年报有疑问，请与松北区营商环境建设监督局办公室联系（地址：哈尔滨市松北区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创新路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118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号，邮编：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150028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，联系电话：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0451-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82300153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3F0B29" w:rsidRDefault="00307252">
      <w:pPr>
        <w:widowControl/>
        <w:shd w:val="clear" w:color="auto" w:fill="FFFFFF"/>
        <w:spacing w:line="560" w:lineRule="exact"/>
        <w:ind w:firstLine="35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3F0B29" w:rsidRDefault="003072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年，松北区营商环境建设监督局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公开工作坚持以习近平新时代中国特色社会主义思想为指导，深入贯彻落实党的十九大和十九届二中、三中、四中、五中全会精神，紧紧围绕区委、区政府和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发改委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的重大决策部署和公众关切，严格按照《中华人民共和国政府信息公开条例》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中华人民共和国保守国家秘密法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以及上级关于做好政务公开工作的各项通知要求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哈尔滨市人民政府信息公开指南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，以公开促规范，以公开促服务，切实保障人民群众的知情权、参与权、表达权和监督权，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创新政府信息公开形式，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进一步细化政务公开工作任务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持续推进政府信息公开工作，形成长效、稳定的运行机制。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3F0B29" w:rsidRDefault="00307252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p w:rsidR="003F0B29" w:rsidRDefault="00307252">
      <w:pPr>
        <w:pStyle w:val="a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全年主动公开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各类政府信息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条，其中政府网站公开信息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其他渠道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报送空表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tbl>
      <w:tblPr>
        <w:tblW w:w="10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1"/>
        <w:gridCol w:w="2512"/>
        <w:gridCol w:w="2706"/>
        <w:gridCol w:w="2499"/>
      </w:tblGrid>
      <w:tr w:rsidR="003F0B29">
        <w:trPr>
          <w:trHeight w:val="840"/>
        </w:trPr>
        <w:tc>
          <w:tcPr>
            <w:tcW w:w="10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主动公开政府信息情况</w:t>
            </w:r>
          </w:p>
        </w:tc>
      </w:tr>
      <w:tr w:rsidR="003F0B29">
        <w:trPr>
          <w:trHeight w:val="31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3F0B29">
        <w:trPr>
          <w:trHeight w:val="285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2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本年</w:t>
            </w:r>
            <w:r>
              <w:rPr>
                <w:rStyle w:val="font01"/>
                <w:rFonts w:eastAsia="宋体"/>
                <w:lang/>
              </w:rPr>
              <w:t>制</w:t>
            </w:r>
            <w:r>
              <w:rPr>
                <w:rStyle w:val="font21"/>
                <w:rFonts w:hint="default"/>
                <w:lang/>
              </w:rPr>
              <w:t>发件</w:t>
            </w:r>
            <w:r>
              <w:rPr>
                <w:rStyle w:val="font01"/>
                <w:rFonts w:eastAsia="宋体"/>
                <w:lang/>
              </w:rPr>
              <w:t>数</w:t>
            </w:r>
          </w:p>
        </w:tc>
        <w:tc>
          <w:tcPr>
            <w:tcW w:w="27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本年废止件数</w:t>
            </w:r>
          </w:p>
        </w:tc>
        <w:tc>
          <w:tcPr>
            <w:tcW w:w="249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现行有效件</w:t>
            </w:r>
            <w:r>
              <w:rPr>
                <w:rStyle w:val="font01"/>
                <w:rFonts w:eastAsia="宋体"/>
                <w:lang/>
              </w:rPr>
              <w:t>数</w:t>
            </w:r>
          </w:p>
        </w:tc>
      </w:tr>
      <w:tr w:rsidR="003F0B29">
        <w:trPr>
          <w:trHeight w:val="300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25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tabs>
                <w:tab w:val="center" w:pos="1241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ab/>
              <w:t>0</w:t>
            </w:r>
          </w:p>
        </w:tc>
        <w:tc>
          <w:tcPr>
            <w:tcW w:w="27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tabs>
                <w:tab w:val="center" w:pos="133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ab/>
              <w:t>0</w:t>
            </w:r>
          </w:p>
        </w:tc>
        <w:tc>
          <w:tcPr>
            <w:tcW w:w="2499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0</w:t>
            </w:r>
          </w:p>
        </w:tc>
      </w:tr>
      <w:tr w:rsidR="003F0B29">
        <w:trPr>
          <w:trHeight w:val="300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5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tabs>
                <w:tab w:val="center" w:pos="1241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ab/>
              <w:t>0</w:t>
            </w:r>
          </w:p>
        </w:tc>
        <w:tc>
          <w:tcPr>
            <w:tcW w:w="27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tabs>
                <w:tab w:val="center" w:pos="133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ab/>
              <w:t>0</w:t>
            </w:r>
          </w:p>
        </w:tc>
        <w:tc>
          <w:tcPr>
            <w:tcW w:w="2499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0</w:t>
            </w:r>
          </w:p>
        </w:tc>
      </w:tr>
      <w:tr w:rsidR="003F0B29">
        <w:trPr>
          <w:trHeight w:val="315"/>
        </w:trPr>
        <w:tc>
          <w:tcPr>
            <w:tcW w:w="1016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3F0B29">
        <w:trPr>
          <w:trHeight w:val="315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717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3F0B29">
        <w:trPr>
          <w:trHeight w:val="315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7717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0</w:t>
            </w:r>
          </w:p>
        </w:tc>
      </w:tr>
      <w:tr w:rsidR="003F0B29">
        <w:trPr>
          <w:trHeight w:val="315"/>
        </w:trPr>
        <w:tc>
          <w:tcPr>
            <w:tcW w:w="1016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第二十条第（六）项</w:t>
            </w:r>
          </w:p>
        </w:tc>
      </w:tr>
      <w:tr w:rsidR="003F0B29">
        <w:trPr>
          <w:trHeight w:val="315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71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3F0B29">
        <w:trPr>
          <w:trHeight w:val="315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7717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F0B29">
        <w:trPr>
          <w:trHeight w:val="315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7717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F0B29">
        <w:trPr>
          <w:trHeight w:val="315"/>
        </w:trPr>
        <w:tc>
          <w:tcPr>
            <w:tcW w:w="1016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3F0B29">
        <w:trPr>
          <w:trHeight w:val="315"/>
        </w:trPr>
        <w:tc>
          <w:tcPr>
            <w:tcW w:w="245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717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本年收费金额（单位：万元）</w:t>
            </w:r>
          </w:p>
        </w:tc>
      </w:tr>
      <w:tr w:rsidR="003F0B29">
        <w:trPr>
          <w:trHeight w:val="510"/>
        </w:trPr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77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等线" w:eastAsia="宋体" w:hAnsi="等线" w:cs="等线"/>
                <w:color w:val="000000"/>
                <w:sz w:val="22"/>
              </w:rPr>
            </w:pPr>
            <w:r>
              <w:rPr>
                <w:rFonts w:ascii="等线" w:eastAsia="宋体" w:hAnsi="等线" w:cs="等线" w:hint="eastAsia"/>
                <w:color w:val="000000"/>
                <w:sz w:val="22"/>
              </w:rPr>
              <w:t>0</w:t>
            </w:r>
          </w:p>
        </w:tc>
      </w:tr>
    </w:tbl>
    <w:p w:rsidR="003F0B29" w:rsidRDefault="00307252">
      <w:pPr>
        <w:widowControl/>
        <w:spacing w:after="188"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3F0B29" w:rsidRDefault="00307252">
      <w:pPr>
        <w:pStyle w:val="a0"/>
        <w:spacing w:line="560" w:lineRule="exact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全年收到政府信息公开申请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，报送空表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3F0B29" w:rsidRDefault="003F0B2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tbl>
      <w:tblPr>
        <w:tblW w:w="9705" w:type="dxa"/>
        <w:tblInd w:w="93" w:type="dxa"/>
        <w:tblLook w:val="04A0"/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 w:rsidR="003F0B29">
        <w:trPr>
          <w:trHeight w:val="315"/>
        </w:trPr>
        <w:tc>
          <w:tcPr>
            <w:tcW w:w="4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申请人情况</w:t>
            </w:r>
          </w:p>
        </w:tc>
      </w:tr>
      <w:tr w:rsidR="003F0B29">
        <w:trPr>
          <w:trHeight w:val="315"/>
        </w:trPr>
        <w:tc>
          <w:tcPr>
            <w:tcW w:w="4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3F0B29">
        <w:trPr>
          <w:trHeight w:val="315"/>
        </w:trPr>
        <w:tc>
          <w:tcPr>
            <w:tcW w:w="4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F0B29">
        <w:trPr>
          <w:trHeight w:val="540"/>
        </w:trPr>
        <w:tc>
          <w:tcPr>
            <w:tcW w:w="4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机构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F0B29">
        <w:trPr>
          <w:trHeight w:val="520"/>
        </w:trPr>
        <w:tc>
          <w:tcPr>
            <w:tcW w:w="4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 w:rsidTr="00307252">
        <w:trPr>
          <w:trHeight w:val="480"/>
        </w:trPr>
        <w:tc>
          <w:tcPr>
            <w:tcW w:w="4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 w:rsidTr="00307252">
        <w:trPr>
          <w:trHeight w:val="315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三、本年度办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理结果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（一）予以公开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 w:rsidTr="00307252">
        <w:trPr>
          <w:trHeight w:val="735"/>
        </w:trPr>
        <w:tc>
          <w:tcPr>
            <w:tcW w:w="64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（二）部分公开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 w:rsidTr="00307252">
        <w:trPr>
          <w:trHeight w:val="510"/>
        </w:trPr>
        <w:tc>
          <w:tcPr>
            <w:tcW w:w="64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（三）不予公开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属于国家秘密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49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58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58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75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49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54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51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不予处理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29" w:rsidRDefault="0030725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49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171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73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F0B29">
        <w:trPr>
          <w:trHeight w:val="315"/>
        </w:trPr>
        <w:tc>
          <w:tcPr>
            <w:tcW w:w="4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3F0B29" w:rsidRDefault="003F0B2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3F0B29" w:rsidRDefault="00307252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lastRenderedPageBreak/>
        <w:t>四、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因政府信息公开工作被申请行政复议、提起行政诉讼情况</w:t>
      </w:r>
    </w:p>
    <w:p w:rsidR="003F0B29" w:rsidRDefault="00307252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全年在依申请公开受理工作中引发行政复议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及行政诉讼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，报送空表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tbl>
      <w:tblPr>
        <w:tblpPr w:leftFromText="180" w:rightFromText="180" w:vertAnchor="text" w:horzAnchor="page" w:tblpX="1469" w:tblpY="118"/>
        <w:tblOverlap w:val="never"/>
        <w:tblW w:w="96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519"/>
        <w:gridCol w:w="551"/>
        <w:gridCol w:w="673"/>
        <w:gridCol w:w="598"/>
        <w:gridCol w:w="673"/>
        <w:gridCol w:w="671"/>
        <w:gridCol w:w="673"/>
        <w:gridCol w:w="672"/>
        <w:gridCol w:w="672"/>
        <w:gridCol w:w="672"/>
        <w:gridCol w:w="672"/>
        <w:gridCol w:w="635"/>
        <w:gridCol w:w="515"/>
        <w:gridCol w:w="941"/>
      </w:tblGrid>
      <w:tr w:rsidR="003F0B29">
        <w:trPr>
          <w:trHeight w:val="575"/>
        </w:trPr>
        <w:tc>
          <w:tcPr>
            <w:tcW w:w="9696" w:type="dxa"/>
            <w:gridSpan w:val="15"/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政府信息公开行政复议、行政诉讼情况</w:t>
            </w:r>
          </w:p>
        </w:tc>
      </w:tr>
      <w:tr w:rsidR="003F0B29">
        <w:trPr>
          <w:trHeight w:val="341"/>
        </w:trPr>
        <w:tc>
          <w:tcPr>
            <w:tcW w:w="29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行政复议</w:t>
            </w:r>
          </w:p>
        </w:tc>
        <w:tc>
          <w:tcPr>
            <w:tcW w:w="6796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行政诉讼</w:t>
            </w:r>
          </w:p>
        </w:tc>
      </w:tr>
      <w:tr w:rsidR="003F0B29">
        <w:trPr>
          <w:trHeight w:val="341"/>
        </w:trPr>
        <w:tc>
          <w:tcPr>
            <w:tcW w:w="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</w:t>
            </w:r>
          </w:p>
        </w:tc>
        <w:tc>
          <w:tcPr>
            <w:tcW w:w="519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</w:t>
            </w:r>
          </w:p>
        </w:tc>
        <w:tc>
          <w:tcPr>
            <w:tcW w:w="55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</w:p>
        </w:tc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</w:p>
        </w:tc>
        <w:tc>
          <w:tcPr>
            <w:tcW w:w="59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3361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复议后起诉</w:t>
            </w:r>
          </w:p>
        </w:tc>
      </w:tr>
      <w:tr w:rsidR="003F0B29">
        <w:trPr>
          <w:trHeight w:val="32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1" w:type="dxa"/>
            <w:gridSpan w:val="5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gridSpan w:val="5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F0B29">
        <w:trPr>
          <w:trHeight w:val="32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1" w:type="dxa"/>
            <w:gridSpan w:val="5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gridSpan w:val="5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F0B29">
        <w:trPr>
          <w:trHeight w:val="341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</w:t>
            </w:r>
          </w:p>
        </w:tc>
        <w:tc>
          <w:tcPr>
            <w:tcW w:w="6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</w:t>
            </w:r>
          </w:p>
        </w:tc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</w:t>
            </w:r>
          </w:p>
        </w:tc>
        <w:tc>
          <w:tcPr>
            <w:tcW w:w="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</w:p>
        </w:tc>
        <w:tc>
          <w:tcPr>
            <w:tcW w:w="5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</w:p>
        </w:tc>
        <w:tc>
          <w:tcPr>
            <w:tcW w:w="9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</w:tr>
      <w:tr w:rsidR="003F0B29">
        <w:trPr>
          <w:trHeight w:val="32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F0B29">
        <w:trPr>
          <w:trHeight w:val="32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F0B29">
        <w:trPr>
          <w:trHeight w:val="32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F0B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F0B29">
        <w:trPr>
          <w:trHeight w:val="628"/>
        </w:trPr>
        <w:tc>
          <w:tcPr>
            <w:tcW w:w="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0B29" w:rsidRDefault="00307252">
            <w:pPr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0</w:t>
            </w:r>
          </w:p>
        </w:tc>
      </w:tr>
    </w:tbl>
    <w:p w:rsidR="003F0B29" w:rsidRDefault="003072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3F0B29" w:rsidRDefault="00307252" w:rsidP="00307252">
      <w:pPr>
        <w:widowControl/>
        <w:shd w:val="clear" w:color="auto" w:fill="FFFFFF"/>
        <w:spacing w:line="560" w:lineRule="exact"/>
        <w:ind w:firstLineChars="218" w:firstLine="6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过去一年，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局在政务公开工作方面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随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取得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的成效，但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上级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要求还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存在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间有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待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提升，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工作的质量和数量方面有待提升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3F0B29" w:rsidRDefault="003072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营商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局会继续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努力，从以下方面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信息公开管理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工作：一要提高认识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，由局领导负全责、相关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科室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共同参与，明确责任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明确工作办理时限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确保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信息公开工作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落实到具体人员。二要整章建制，健全政务信息公开工作有关制度。完善信息公开申请的接收、登记、审核、办理、答复、归档工作制度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加强完善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形式，及时、全面、准确地向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社会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公开各项政策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文件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提供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优质服务。</w:t>
      </w:r>
    </w:p>
    <w:p w:rsidR="003F0B29" w:rsidRDefault="00307252">
      <w:pPr>
        <w:widowControl/>
        <w:shd w:val="clear" w:color="auto" w:fill="FFFFFF"/>
        <w:spacing w:line="560" w:lineRule="exact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六、其他需要报告的事项</w:t>
      </w:r>
    </w:p>
    <w:p w:rsidR="003F0B29" w:rsidRDefault="00307252">
      <w:pPr>
        <w:widowControl/>
        <w:shd w:val="clear" w:color="auto" w:fill="FFFFFF"/>
        <w:spacing w:line="560" w:lineRule="exact"/>
        <w:ind w:firstLineChars="225" w:firstLine="72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202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年度，我局无其他需要报告的事项。</w:t>
      </w:r>
    </w:p>
    <w:p w:rsidR="003F0B29" w:rsidRDefault="003F0B29">
      <w:pPr>
        <w:widowControl/>
        <w:spacing w:line="560" w:lineRule="exact"/>
        <w:ind w:firstLineChars="800" w:firstLine="256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3F0B29" w:rsidRDefault="003F0B29">
      <w:pPr>
        <w:widowControl/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F0B29" w:rsidSect="003F0B29">
      <w:pgSz w:w="11906" w:h="16838"/>
      <w:pgMar w:top="204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72A27"/>
    <w:rsid w:val="000907D7"/>
    <w:rsid w:val="000B3DDF"/>
    <w:rsid w:val="000F3EB2"/>
    <w:rsid w:val="001150CB"/>
    <w:rsid w:val="00120E87"/>
    <w:rsid w:val="00126293"/>
    <w:rsid w:val="001322E3"/>
    <w:rsid w:val="00157563"/>
    <w:rsid w:val="00172A27"/>
    <w:rsid w:val="00194126"/>
    <w:rsid w:val="0019522F"/>
    <w:rsid w:val="0022056F"/>
    <w:rsid w:val="00223282"/>
    <w:rsid w:val="00307252"/>
    <w:rsid w:val="00362CB8"/>
    <w:rsid w:val="003B6E2B"/>
    <w:rsid w:val="003C4CCE"/>
    <w:rsid w:val="003E4C7E"/>
    <w:rsid w:val="003F0B29"/>
    <w:rsid w:val="003F55CD"/>
    <w:rsid w:val="005458A5"/>
    <w:rsid w:val="005673E8"/>
    <w:rsid w:val="005A1E10"/>
    <w:rsid w:val="006118EA"/>
    <w:rsid w:val="00622C73"/>
    <w:rsid w:val="006254A0"/>
    <w:rsid w:val="00665ECC"/>
    <w:rsid w:val="006E3962"/>
    <w:rsid w:val="007221D4"/>
    <w:rsid w:val="007F3F4A"/>
    <w:rsid w:val="00873CA1"/>
    <w:rsid w:val="00915B35"/>
    <w:rsid w:val="00917016"/>
    <w:rsid w:val="00951308"/>
    <w:rsid w:val="0095493A"/>
    <w:rsid w:val="009B15D1"/>
    <w:rsid w:val="00A1106E"/>
    <w:rsid w:val="00A27E23"/>
    <w:rsid w:val="00A74546"/>
    <w:rsid w:val="00AD7F35"/>
    <w:rsid w:val="00AE68FF"/>
    <w:rsid w:val="00C20CDA"/>
    <w:rsid w:val="00D06617"/>
    <w:rsid w:val="00DA0BB9"/>
    <w:rsid w:val="00E06DB2"/>
    <w:rsid w:val="00E84A54"/>
    <w:rsid w:val="00ED5EEC"/>
    <w:rsid w:val="00EF77A8"/>
    <w:rsid w:val="00F20359"/>
    <w:rsid w:val="00F26398"/>
    <w:rsid w:val="00F71225"/>
    <w:rsid w:val="00F936A3"/>
    <w:rsid w:val="00FC4699"/>
    <w:rsid w:val="02446330"/>
    <w:rsid w:val="0D051AEA"/>
    <w:rsid w:val="18434D45"/>
    <w:rsid w:val="22DE6F50"/>
    <w:rsid w:val="26DF24A2"/>
    <w:rsid w:val="2BEF49D9"/>
    <w:rsid w:val="2EE87D41"/>
    <w:rsid w:val="3172522D"/>
    <w:rsid w:val="33045F04"/>
    <w:rsid w:val="33452BAA"/>
    <w:rsid w:val="34463D2F"/>
    <w:rsid w:val="37925635"/>
    <w:rsid w:val="3F16333F"/>
    <w:rsid w:val="40CD0C6A"/>
    <w:rsid w:val="429E631C"/>
    <w:rsid w:val="4C361BE3"/>
    <w:rsid w:val="548128BF"/>
    <w:rsid w:val="57D73E4B"/>
    <w:rsid w:val="606B1C65"/>
    <w:rsid w:val="64CE08EF"/>
    <w:rsid w:val="67974DB0"/>
    <w:rsid w:val="68EA072F"/>
    <w:rsid w:val="6ACC42B8"/>
    <w:rsid w:val="6F172CBE"/>
    <w:rsid w:val="729E2925"/>
    <w:rsid w:val="77896487"/>
    <w:rsid w:val="79A02E25"/>
    <w:rsid w:val="7B650B29"/>
    <w:rsid w:val="7BD2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B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3F0B29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3F0B29"/>
  </w:style>
  <w:style w:type="paragraph" w:styleId="a4">
    <w:name w:val="footer"/>
    <w:basedOn w:val="a"/>
    <w:link w:val="Char"/>
    <w:uiPriority w:val="99"/>
    <w:unhideWhenUsed/>
    <w:qFormat/>
    <w:rsid w:val="003F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F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F0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semiHidden/>
    <w:qFormat/>
    <w:rsid w:val="003F0B2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3F0B29"/>
    <w:rPr>
      <w:sz w:val="18"/>
      <w:szCs w:val="18"/>
    </w:rPr>
  </w:style>
  <w:style w:type="character" w:customStyle="1" w:styleId="font21">
    <w:name w:val="font21"/>
    <w:basedOn w:val="a1"/>
    <w:qFormat/>
    <w:rsid w:val="003F0B2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sid w:val="003F0B29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3F0B2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李一鸣</dc:creator>
  <cp:lastModifiedBy>政府办</cp:lastModifiedBy>
  <cp:revision>26</cp:revision>
  <cp:lastPrinted>2021-01-15T06:27:00Z</cp:lastPrinted>
  <dcterms:created xsi:type="dcterms:W3CDTF">2020-12-28T07:51:00Z</dcterms:created>
  <dcterms:modified xsi:type="dcterms:W3CDTF">2022-02-07T06:30:00Z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18D44D2CFFBE4CA884DE5C3B1988CBCE</vt:lpwstr>
  </property>
</Properties>
</file>