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6DB1" w:rsidRDefault="00EE20D0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松北区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市场监督管理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局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</w:t>
      </w:r>
    </w:p>
    <w:p w:rsidR="003D6DB1" w:rsidRDefault="00EE20D0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政府信息公开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工作</w:t>
      </w:r>
      <w:r w:rsidR="00A54ECC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年度</w:t>
      </w: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报告</w:t>
      </w:r>
    </w:p>
    <w:p w:rsidR="003D6DB1" w:rsidRDefault="003D6DB1">
      <w:pPr>
        <w:widowControl/>
        <w:spacing w:line="560" w:lineRule="exact"/>
        <w:ind w:firstLine="538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3D6DB1" w:rsidRDefault="00EE20D0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</w:t>
      </w:r>
      <w:bookmarkStart w:id="0" w:name="_GoBack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按照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中华人民共和国政府信息公开条例》要求编制。全文包括总体情况、主动公开政府信息情况、收到和处理政府信息公开申请情况、政府信息公开行政复议、行政诉讼情况、存在的主要问题及改进情况和其他需要报告的事项共六个部分。本年报中所列数据的统计期限自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日起至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日止。如对本年报有疑问，请与松北区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市场监督管理局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办公室联系（地址：哈尔滨市松北区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龙川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1550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号，邮编：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150028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，联系电话：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0451-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88101919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）。</w:t>
      </w:r>
    </w:p>
    <w:p w:rsidR="003D6DB1" w:rsidRDefault="00EE20D0">
      <w:pPr>
        <w:widowControl/>
        <w:shd w:val="clear" w:color="auto" w:fill="FFFFFF"/>
        <w:spacing w:line="560" w:lineRule="exact"/>
        <w:ind w:firstLine="351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:rsidR="003D6DB1" w:rsidRDefault="00EE20D0">
      <w:pPr>
        <w:widowControl/>
        <w:shd w:val="clear" w:color="auto" w:fill="FFFFFF"/>
        <w:spacing w:line="560" w:lineRule="exact"/>
        <w:ind w:firstLineChars="209" w:firstLine="669"/>
        <w:jc w:val="left"/>
        <w:rPr>
          <w:rFonts w:ascii="微软雅黑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市场监督管理局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公开工作坚持以习近平新时代中国特色社会主义思想为指导，深入贯彻落实党的十九大和十九届二中、三中、四中、五中全会精神，严格按照《中华人民共和国政府信息公开条例》以及上级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各项通知要求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做好政务公开工作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3D6DB1" w:rsidRDefault="00EE20D0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</w:p>
    <w:p w:rsidR="003D6DB1" w:rsidRDefault="00EE20D0">
      <w:pPr>
        <w:pStyle w:val="a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全年主动公开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行政许可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5553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条，行政处罚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tbl>
      <w:tblPr>
        <w:tblW w:w="81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871"/>
        <w:gridCol w:w="20"/>
        <w:gridCol w:w="1266"/>
        <w:gridCol w:w="1877"/>
      </w:tblGrid>
      <w:tr w:rsidR="003D6DB1">
        <w:trPr>
          <w:trHeight w:val="495"/>
          <w:jc w:val="center"/>
        </w:trPr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黑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ascii="宋体" w:eastAsia="仿宋_GB2312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第二十条第（一）项</w:t>
            </w:r>
          </w:p>
        </w:tc>
      </w:tr>
      <w:tr w:rsidR="003D6DB1">
        <w:trPr>
          <w:trHeight w:val="88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本年新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对外公开总数量</w:t>
            </w:r>
          </w:p>
        </w:tc>
      </w:tr>
      <w:tr w:rsidR="003D6DB1">
        <w:trPr>
          <w:trHeight w:val="52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trHeight w:val="46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规范性文件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第二十条第（五）项</w:t>
            </w:r>
          </w:p>
        </w:tc>
      </w:tr>
      <w:tr w:rsidR="003D6DB1">
        <w:trPr>
          <w:trHeight w:val="63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处理决定数量</w:t>
            </w:r>
          </w:p>
        </w:tc>
      </w:tr>
      <w:tr w:rsidR="003D6DB1">
        <w:trPr>
          <w:trHeight w:val="52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4654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5553</w:t>
            </w:r>
          </w:p>
        </w:tc>
      </w:tr>
      <w:tr w:rsidR="003D6DB1">
        <w:trPr>
          <w:trHeight w:val="55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trHeight w:val="405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第二十条第（六）项</w:t>
            </w:r>
          </w:p>
        </w:tc>
      </w:tr>
      <w:tr w:rsidR="003D6DB1">
        <w:trPr>
          <w:trHeight w:val="63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处理决定数量</w:t>
            </w:r>
          </w:p>
        </w:tc>
      </w:tr>
      <w:tr w:rsidR="003D6DB1">
        <w:trPr>
          <w:trHeight w:val="43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</w:tr>
      <w:tr w:rsidR="003D6DB1">
        <w:trPr>
          <w:trHeight w:val="40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第二十条第（八）项</w:t>
            </w:r>
          </w:p>
        </w:tc>
      </w:tr>
      <w:tr w:rsidR="003D6DB1">
        <w:trPr>
          <w:trHeight w:val="27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本年增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减</w:t>
            </w:r>
          </w:p>
        </w:tc>
      </w:tr>
      <w:tr w:rsidR="003D6DB1">
        <w:trPr>
          <w:trHeight w:val="55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trHeight w:val="480"/>
          <w:jc w:val="center"/>
        </w:trPr>
        <w:tc>
          <w:tcPr>
            <w:tcW w:w="8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第二十条第（九）项</w:t>
            </w:r>
          </w:p>
        </w:tc>
      </w:tr>
      <w:tr w:rsidR="003D6DB1">
        <w:trPr>
          <w:trHeight w:val="585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采购总金额</w:t>
            </w:r>
          </w:p>
        </w:tc>
      </w:tr>
      <w:tr w:rsidR="003D6DB1">
        <w:trPr>
          <w:trHeight w:val="540"/>
          <w:jc w:val="center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3117" w:type="dxa"/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74" w:type="dxa"/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" w:type="dxa"/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3D6DB1" w:rsidRDefault="00EE20D0">
      <w:pPr>
        <w:widowControl/>
        <w:spacing w:after="188" w:line="56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</w:p>
    <w:p w:rsidR="003D6DB1" w:rsidRDefault="00EE20D0">
      <w:pPr>
        <w:pStyle w:val="a0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全年收到政府信息公开申请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tbl>
      <w:tblPr>
        <w:tblW w:w="85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6"/>
        <w:gridCol w:w="1696"/>
        <w:gridCol w:w="716"/>
        <w:gridCol w:w="676"/>
        <w:gridCol w:w="676"/>
        <w:gridCol w:w="716"/>
        <w:gridCol w:w="826"/>
        <w:gridCol w:w="647"/>
        <w:gridCol w:w="636"/>
      </w:tblGrid>
      <w:tr w:rsidR="003D6DB1">
        <w:trPr>
          <w:jc w:val="center"/>
        </w:trPr>
        <w:tc>
          <w:tcPr>
            <w:tcW w:w="3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申请人情况</w:t>
            </w:r>
          </w:p>
        </w:tc>
      </w:tr>
      <w:tr w:rsidR="003D6DB1">
        <w:trPr>
          <w:jc w:val="center"/>
        </w:trPr>
        <w:tc>
          <w:tcPr>
            <w:tcW w:w="3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5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</w:tr>
      <w:tr w:rsidR="003D6DB1">
        <w:trPr>
          <w:jc w:val="center"/>
        </w:trPr>
        <w:tc>
          <w:tcPr>
            <w:tcW w:w="3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3D6DB1">
        <w:trPr>
          <w:jc w:val="center"/>
        </w:trPr>
        <w:tc>
          <w:tcPr>
            <w:tcW w:w="3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3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属于国家秘密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其他法律行政法规禁止公开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危及“三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安全一稳定”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4.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保护第三方合法权益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5.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属于三类内部事务信息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6.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属于四类过程性信息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7.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属于行政执法案卷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8.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属于行政查询事项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本机关不掌握相关政府信息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没有现成信息需要另行制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lastRenderedPageBreak/>
              <w:t>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补正后申请内容仍不明确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信访举报投诉类申请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要求提供公开出版物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4.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无正当理由大量反复申请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5.</w:t>
            </w: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要求行政机关确认或重新出具已获取信息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3D6DB1">
        <w:trPr>
          <w:trHeight w:val="740"/>
          <w:jc w:val="center"/>
        </w:trPr>
        <w:tc>
          <w:tcPr>
            <w:tcW w:w="3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3D6DB1" w:rsidRDefault="00EE20D0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因政府信息公开工作被申请行政复议、提起行政诉讼情况</w:t>
      </w:r>
    </w:p>
    <w:p w:rsidR="003D6DB1" w:rsidRDefault="00EE20D0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全年在依申请公开受理工作中引发行政复议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及行政诉讼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件。</w:t>
      </w:r>
    </w:p>
    <w:tbl>
      <w:tblPr>
        <w:tblW w:w="8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78"/>
        <w:gridCol w:w="578"/>
        <w:gridCol w:w="578"/>
        <w:gridCol w:w="637"/>
        <w:gridCol w:w="543"/>
        <w:gridCol w:w="578"/>
        <w:gridCol w:w="578"/>
        <w:gridCol w:w="578"/>
        <w:gridCol w:w="590"/>
        <w:gridCol w:w="578"/>
        <w:gridCol w:w="578"/>
        <w:gridCol w:w="578"/>
        <w:gridCol w:w="578"/>
        <w:gridCol w:w="602"/>
      </w:tblGrid>
      <w:tr w:rsidR="003D6DB1">
        <w:trPr>
          <w:jc w:val="center"/>
        </w:trPr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行政诉讼</w:t>
            </w:r>
          </w:p>
        </w:tc>
      </w:tr>
      <w:tr w:rsidR="003D6DB1"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复议后起诉</w:t>
            </w:r>
          </w:p>
        </w:tc>
      </w:tr>
      <w:tr w:rsidR="003D6DB1">
        <w:trPr>
          <w:jc w:val="center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总计</w:t>
            </w:r>
          </w:p>
        </w:tc>
      </w:tr>
      <w:tr w:rsidR="003D6DB1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3D6DB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F4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D6DB1" w:rsidRDefault="00EE20D0">
            <w:pPr>
              <w:widowControl/>
              <w:spacing w:line="560" w:lineRule="exact"/>
              <w:ind w:firstLine="163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3D6DB1" w:rsidRDefault="00EE20D0">
      <w:pPr>
        <w:widowControl/>
        <w:shd w:val="clear" w:color="auto" w:fill="FFFFFF"/>
        <w:spacing w:line="560" w:lineRule="exact"/>
        <w:jc w:val="left"/>
        <w:rPr>
          <w:rFonts w:ascii="宋体" w:eastAsia="黑体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>五、存在的主要问题及改进情况</w:t>
      </w:r>
    </w:p>
    <w:p w:rsidR="003D6DB1" w:rsidRDefault="00EE20D0">
      <w:pPr>
        <w:widowControl/>
        <w:shd w:val="clear" w:color="auto" w:fill="FFFFFF"/>
        <w:spacing w:line="560" w:lineRule="exact"/>
        <w:ind w:firstLineChars="218" w:firstLine="69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过去一年，松北区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市场监督管理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局在政务公开工作方面取得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了一定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的成效，但距离上级要求还有一定的提升空间，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质量有待提升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3D6DB1" w:rsidRDefault="00EE20D0">
      <w:pPr>
        <w:widowControl/>
        <w:shd w:val="clear" w:color="auto" w:fill="FFFFFF"/>
        <w:spacing w:line="560" w:lineRule="exact"/>
        <w:ind w:firstLine="53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市场监督管理局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会继续加强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信息公开工作的管理。进一步细化政务公开工作任务，以公开促规范，以公开促服务，切实保障人民群众的知情权、参与权、表达权和监督权，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创新政府信息公开形式，持续推进政府信息公开工作，形成长效、稳定的运行机制。</w:t>
      </w:r>
    </w:p>
    <w:p w:rsidR="003D6DB1" w:rsidRDefault="00EE20D0">
      <w:pPr>
        <w:widowControl/>
        <w:shd w:val="clear" w:color="auto" w:fill="FFFFFF"/>
        <w:spacing w:line="560" w:lineRule="exact"/>
        <w:jc w:val="left"/>
        <w:rPr>
          <w:rFonts w:ascii="宋体" w:eastAsia="黑体" w:hAnsi="宋体" w:cs="宋体"/>
          <w:color w:val="333333"/>
          <w:kern w:val="0"/>
          <w:sz w:val="32"/>
          <w:szCs w:val="32"/>
        </w:rPr>
      </w:pP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 xml:space="preserve">    </w:t>
      </w:r>
      <w:r>
        <w:rPr>
          <w:rFonts w:ascii="宋体" w:eastAsia="黑体" w:hAnsi="宋体" w:cs="宋体" w:hint="eastAsia"/>
          <w:color w:val="333333"/>
          <w:kern w:val="0"/>
          <w:sz w:val="32"/>
          <w:szCs w:val="32"/>
        </w:rPr>
        <w:t>六、其他需要报告的事项</w:t>
      </w:r>
    </w:p>
    <w:p w:rsidR="003D6DB1" w:rsidRDefault="00EE20D0">
      <w:pPr>
        <w:widowControl/>
        <w:shd w:val="clear" w:color="auto" w:fill="FFFFFF"/>
        <w:spacing w:line="560" w:lineRule="exact"/>
        <w:ind w:firstLineChars="225" w:firstLine="72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年度，我局无其他需要报告的事项。</w:t>
      </w:r>
    </w:p>
    <w:p w:rsidR="003D6DB1" w:rsidRDefault="003D6DB1">
      <w:pPr>
        <w:pStyle w:val="a0"/>
        <w:spacing w:after="0" w:line="560" w:lineRule="exact"/>
      </w:pPr>
    </w:p>
    <w:p w:rsidR="003D6DB1" w:rsidRDefault="00EE20D0">
      <w:pPr>
        <w:widowControl/>
        <w:spacing w:line="560" w:lineRule="exact"/>
        <w:ind w:firstLineChars="800" w:firstLine="25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松北区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市场监督管理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局</w:t>
      </w:r>
    </w:p>
    <w:p w:rsidR="003D6DB1" w:rsidRDefault="00EE20D0">
      <w:pPr>
        <w:widowControl/>
        <w:spacing w:line="560" w:lineRule="exact"/>
        <w:ind w:firstLineChars="1450" w:firstLine="4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bookmarkEnd w:id="0"/>
    <w:p w:rsidR="003D6DB1" w:rsidRDefault="00EE20D0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3D6DB1" w:rsidRDefault="003D6DB1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3D6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D0" w:rsidRDefault="00EE20D0" w:rsidP="00A54ECC">
      <w:r>
        <w:separator/>
      </w:r>
    </w:p>
  </w:endnote>
  <w:endnote w:type="continuationSeparator" w:id="0">
    <w:p w:rsidR="00EE20D0" w:rsidRDefault="00EE20D0" w:rsidP="00A5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D0" w:rsidRDefault="00EE20D0" w:rsidP="00A54ECC">
      <w:r>
        <w:separator/>
      </w:r>
    </w:p>
  </w:footnote>
  <w:footnote w:type="continuationSeparator" w:id="0">
    <w:p w:rsidR="00EE20D0" w:rsidRDefault="00EE20D0" w:rsidP="00A5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46"/>
    <w:rsid w:val="000907D7"/>
    <w:rsid w:val="000B3DDF"/>
    <w:rsid w:val="000F3EB2"/>
    <w:rsid w:val="001150CB"/>
    <w:rsid w:val="00120E87"/>
    <w:rsid w:val="00126293"/>
    <w:rsid w:val="001322E3"/>
    <w:rsid w:val="00157563"/>
    <w:rsid w:val="00194126"/>
    <w:rsid w:val="0019522F"/>
    <w:rsid w:val="0022056F"/>
    <w:rsid w:val="00223282"/>
    <w:rsid w:val="00362CB8"/>
    <w:rsid w:val="003B6E2B"/>
    <w:rsid w:val="003C4CCE"/>
    <w:rsid w:val="003D6DB1"/>
    <w:rsid w:val="003E4C7E"/>
    <w:rsid w:val="003F55CD"/>
    <w:rsid w:val="005458A5"/>
    <w:rsid w:val="005673E8"/>
    <w:rsid w:val="005A1E10"/>
    <w:rsid w:val="006118EA"/>
    <w:rsid w:val="00622C73"/>
    <w:rsid w:val="006254A0"/>
    <w:rsid w:val="00665ECC"/>
    <w:rsid w:val="006E3962"/>
    <w:rsid w:val="007221D4"/>
    <w:rsid w:val="007F3F4A"/>
    <w:rsid w:val="00873CA1"/>
    <w:rsid w:val="00915B35"/>
    <w:rsid w:val="00917016"/>
    <w:rsid w:val="00951308"/>
    <w:rsid w:val="0095493A"/>
    <w:rsid w:val="009B15D1"/>
    <w:rsid w:val="00A1106E"/>
    <w:rsid w:val="00A27E23"/>
    <w:rsid w:val="00A54ECC"/>
    <w:rsid w:val="00A74546"/>
    <w:rsid w:val="00AD7F35"/>
    <w:rsid w:val="00AE68FF"/>
    <w:rsid w:val="00C20CDA"/>
    <w:rsid w:val="00D06617"/>
    <w:rsid w:val="00DA0BB9"/>
    <w:rsid w:val="00E06DB2"/>
    <w:rsid w:val="00E84A54"/>
    <w:rsid w:val="00ED5EEC"/>
    <w:rsid w:val="00EE20D0"/>
    <w:rsid w:val="00EF77A8"/>
    <w:rsid w:val="00F20359"/>
    <w:rsid w:val="00F26398"/>
    <w:rsid w:val="00F71225"/>
    <w:rsid w:val="00F936A3"/>
    <w:rsid w:val="00FC4699"/>
    <w:rsid w:val="0A9A565D"/>
    <w:rsid w:val="0D051AEA"/>
    <w:rsid w:val="0D845BBC"/>
    <w:rsid w:val="18434D45"/>
    <w:rsid w:val="2B630371"/>
    <w:rsid w:val="3172522D"/>
    <w:rsid w:val="33452BAA"/>
    <w:rsid w:val="429E631C"/>
    <w:rsid w:val="4B512D4C"/>
    <w:rsid w:val="64CE08EF"/>
    <w:rsid w:val="68EA072F"/>
    <w:rsid w:val="72183038"/>
    <w:rsid w:val="77896487"/>
    <w:rsid w:val="78256664"/>
    <w:rsid w:val="7BD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790F74-3278-4FEF-A03D-A1AD4179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pPr>
      <w:spacing w:after="120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页眉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李一鸣</dc:creator>
  <cp:lastModifiedBy>zhangtingbo</cp:lastModifiedBy>
  <cp:revision>25</cp:revision>
  <cp:lastPrinted>2021-01-30T04:21:00Z</cp:lastPrinted>
  <dcterms:created xsi:type="dcterms:W3CDTF">2020-12-28T07:51:00Z</dcterms:created>
  <dcterms:modified xsi:type="dcterms:W3CDTF">2021-01-30T11:47:00Z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