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333333"/>
          <w:spacing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spacing w:val="0"/>
          <w:kern w:val="0"/>
          <w:sz w:val="44"/>
          <w:szCs w:val="44"/>
        </w:rPr>
        <w:t>松北区</w:t>
      </w:r>
      <w:r>
        <w:rPr>
          <w:rFonts w:hint="eastAsia" w:ascii="方正小标宋简体" w:hAnsi="宋体" w:eastAsia="方正小标宋简体" w:cs="宋体"/>
          <w:color w:val="333333"/>
          <w:spacing w:val="0"/>
          <w:kern w:val="0"/>
          <w:sz w:val="44"/>
          <w:szCs w:val="44"/>
          <w:lang w:eastAsia="zh-CN"/>
        </w:rPr>
        <w:t>住房和城乡建设</w:t>
      </w:r>
      <w:r>
        <w:rPr>
          <w:rFonts w:hint="eastAsia" w:ascii="方正小标宋简体" w:hAnsi="宋体" w:eastAsia="方正小标宋简体" w:cs="宋体"/>
          <w:color w:val="333333"/>
          <w:spacing w:val="0"/>
          <w:kern w:val="0"/>
          <w:sz w:val="44"/>
          <w:szCs w:val="44"/>
        </w:rPr>
        <w:t>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spacing w:val="0"/>
          <w:kern w:val="0"/>
          <w:sz w:val="44"/>
          <w:szCs w:val="44"/>
        </w:rPr>
        <w:t>2020年政府信息公开</w:t>
      </w:r>
      <w:r>
        <w:rPr>
          <w:rFonts w:hint="eastAsia" w:ascii="方正小标宋简体" w:hAnsi="宋体" w:eastAsia="方正小标宋简体" w:cs="宋体"/>
          <w:color w:val="333333"/>
          <w:spacing w:val="0"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 w:cs="宋体"/>
          <w:color w:val="333333"/>
          <w:spacing w:val="0"/>
          <w:kern w:val="0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8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本年报根据《中华人民共和国政府信息公开条例》要求编制。全文包括总体情况、主动公开政府信息情况、收到和处理政府信息公开申请情况、政府信息公开行政复议、行政诉讼情况、存在的主要问题及改进情况和其他需要报告的事项共六个部分。本年报中所列数据的统计期限自2020年1月1日起至2020年12月31日止。如对本年报有疑问，请与松北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住房和城乡建设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局办公室联系（地址：哈尔滨市松北区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创新一路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号，邮编：150028，联系电话：0451-8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8102659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1"/>
        <w:jc w:val="left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2020年，松北区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住房和城乡建设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政府信息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公开工作坚持以习近平新时代中国特色社会主义思想为指导，深入贯彻落实党的十九大和十九届二中、三中、四中、五中全会精神，紧紧围绕区委、区政府和市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发改委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的重大决策部署和公众关切，严格按照《中华人民共和国政府信息公开条例》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、《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中华人民共和国保守国家秘密法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》、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以及上级关于做好政务公开工作的各项通知要求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和《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哈尔滨市人民政府信息公开指南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，以公开促规范，以公开促服务，切实保障人民群众的知情权、参与权、表达权和监督权，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创新政府信息公开形式，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进一步细化政务公开工作任务，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持续推进政府信息公开工作，形成长效、稳定的运行机制。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全年主动公开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各类政府信息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条，其中政府网站公开信息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其他渠道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yellow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条。</w:t>
      </w:r>
    </w:p>
    <w:tbl>
      <w:tblPr>
        <w:tblStyle w:val="8"/>
        <w:tblW w:w="942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1"/>
        <w:gridCol w:w="2246"/>
        <w:gridCol w:w="767"/>
        <w:gridCol w:w="90"/>
        <w:gridCol w:w="1393"/>
        <w:gridCol w:w="358"/>
        <w:gridCol w:w="1824"/>
        <w:gridCol w:w="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495" w:hRule="atLeast"/>
          <w:jc w:val="center"/>
        </w:trPr>
        <w:tc>
          <w:tcPr>
            <w:tcW w:w="9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612" w:hRule="atLeast"/>
          <w:jc w:val="center"/>
        </w:trPr>
        <w:tc>
          <w:tcPr>
            <w:tcW w:w="2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本年新制作数量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本年新公开数量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525" w:hRule="atLeast"/>
          <w:jc w:val="center"/>
        </w:trPr>
        <w:tc>
          <w:tcPr>
            <w:tcW w:w="2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规章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465" w:hRule="atLeast"/>
          <w:jc w:val="center"/>
        </w:trPr>
        <w:tc>
          <w:tcPr>
            <w:tcW w:w="2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规范性文件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yellow"/>
                <w:lang w:val="en-US" w:eastAsia="zh-CN"/>
              </w:rPr>
              <w:t>4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480" w:hRule="atLeast"/>
          <w:jc w:val="center"/>
        </w:trPr>
        <w:tc>
          <w:tcPr>
            <w:tcW w:w="936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630" w:hRule="atLeast"/>
          <w:jc w:val="center"/>
        </w:trPr>
        <w:tc>
          <w:tcPr>
            <w:tcW w:w="2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上一年项目数量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本年增/减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525" w:hRule="atLeast"/>
          <w:jc w:val="center"/>
        </w:trPr>
        <w:tc>
          <w:tcPr>
            <w:tcW w:w="2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555" w:hRule="atLeast"/>
          <w:jc w:val="center"/>
        </w:trPr>
        <w:tc>
          <w:tcPr>
            <w:tcW w:w="2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其他对外管理服务事项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405" w:hRule="atLeast"/>
          <w:jc w:val="center"/>
        </w:trPr>
        <w:tc>
          <w:tcPr>
            <w:tcW w:w="936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630" w:hRule="atLeast"/>
          <w:jc w:val="center"/>
        </w:trPr>
        <w:tc>
          <w:tcPr>
            <w:tcW w:w="2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上一年项目数量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本年增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435" w:hRule="atLeast"/>
          <w:jc w:val="center"/>
        </w:trPr>
        <w:tc>
          <w:tcPr>
            <w:tcW w:w="2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yellow"/>
                <w:lang w:val="en-US" w:eastAsia="zh-CN"/>
              </w:rPr>
              <w:t>67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45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451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405" w:hRule="atLeast"/>
          <w:jc w:val="center"/>
        </w:trPr>
        <w:tc>
          <w:tcPr>
            <w:tcW w:w="2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480" w:hRule="atLeast"/>
          <w:jc w:val="center"/>
        </w:trPr>
        <w:tc>
          <w:tcPr>
            <w:tcW w:w="936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270" w:hRule="atLeast"/>
          <w:jc w:val="center"/>
        </w:trPr>
        <w:tc>
          <w:tcPr>
            <w:tcW w:w="2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上一年项目数量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555" w:hRule="atLeast"/>
          <w:jc w:val="center"/>
        </w:trPr>
        <w:tc>
          <w:tcPr>
            <w:tcW w:w="2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480" w:hRule="atLeast"/>
          <w:jc w:val="center"/>
        </w:trPr>
        <w:tc>
          <w:tcPr>
            <w:tcW w:w="936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585" w:hRule="atLeast"/>
          <w:jc w:val="center"/>
        </w:trPr>
        <w:tc>
          <w:tcPr>
            <w:tcW w:w="2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采购项目数量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540" w:hRule="atLeast"/>
          <w:jc w:val="center"/>
        </w:trPr>
        <w:tc>
          <w:tcPr>
            <w:tcW w:w="2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政府集中采购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8" w:line="560" w:lineRule="exact"/>
        <w:jc w:val="left"/>
        <w:textAlignment w:val="auto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全年收到政府信息公开申请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件，全部在法定期限内办结。在答复内容上，不属于本行政机关业务范畴的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件。</w:t>
      </w:r>
    </w:p>
    <w:tbl>
      <w:tblPr>
        <w:tblStyle w:val="8"/>
        <w:tblW w:w="854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36"/>
        <w:gridCol w:w="1696"/>
        <w:gridCol w:w="716"/>
        <w:gridCol w:w="676"/>
        <w:gridCol w:w="676"/>
        <w:gridCol w:w="716"/>
        <w:gridCol w:w="826"/>
        <w:gridCol w:w="647"/>
        <w:gridCol w:w="6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8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自然人</w:t>
            </w:r>
          </w:p>
        </w:tc>
        <w:tc>
          <w:tcPr>
            <w:tcW w:w="35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3" w:hRule="atLeast"/>
          <w:jc w:val="center"/>
        </w:trPr>
        <w:tc>
          <w:tcPr>
            <w:tcW w:w="36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商业企业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科研机构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1.属于国家秘密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2.其他法律行政法规禁止公开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3.危及“三安全一稳定”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4.保护第三方合法权益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5.属于三类内部事务信息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6.属于四类过程性信息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7.属于行政执法案卷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8.属于行政查询事项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1.本机关不掌握相关政府信息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2.没有现成信息需要另行制作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3.补正后申请内容仍不明确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1.信访举报投诉类申请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2.重复申请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3.要求提供公开出版物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4.无正当理由大量反复申请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（六）其他处理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6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四、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因政府信息公开工作被申请行政复议、提起行政诉讼情况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全年在依申请公开受理工作中引发行政复议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及行政诉讼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件。</w:t>
      </w:r>
    </w:p>
    <w:tbl>
      <w:tblPr>
        <w:tblStyle w:val="8"/>
        <w:tblW w:w="864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578"/>
        <w:gridCol w:w="578"/>
        <w:gridCol w:w="578"/>
        <w:gridCol w:w="637"/>
        <w:gridCol w:w="543"/>
        <w:gridCol w:w="578"/>
        <w:gridCol w:w="578"/>
        <w:gridCol w:w="578"/>
        <w:gridCol w:w="590"/>
        <w:gridCol w:w="578"/>
        <w:gridCol w:w="578"/>
        <w:gridCol w:w="578"/>
        <w:gridCol w:w="578"/>
        <w:gridCol w:w="6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7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总计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总计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highlight w:val="none"/>
                <w:lang w:val="en-US" w:eastAsia="zh-CN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3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宋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黑体" w:cs="宋体"/>
          <w:color w:val="333333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7" w:firstLineChars="218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过去一年，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我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局在政务公开工作方面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随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取得了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一定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的成效，但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与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上级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各项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要求还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存在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一定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的空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间有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待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提升，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对政务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公开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工作的质量和数量方面有待提升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2021年，区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住建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局会继续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努力，从以下方面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加强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政务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信息公开管理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工作：一要提高认识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，由局主要领导负全责、分管领导具体抓、办公室承办、相关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科室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共同参与，明确责任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明确工作办理时限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确保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政务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信息公开工作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落实到具体人员。二要整章建制，健全政务信息公开工作有关制度。完善信息公开申请的接收、登记、审核、办理、答复、归档工作制度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。三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进一步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加强完善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公开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形式，及时、全面、准确地向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社会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公开各项政策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文件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提供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优质服务。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ascii="宋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黑体" w:cs="宋体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黑体" w:cs="宋体"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25"/>
        <w:jc w:val="left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2020年度，我局无其他需要报告的事项。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560" w:firstLineChars="800"/>
        <w:jc w:val="left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560" w:firstLineChars="80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  哈尔滨市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松北区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住房和城乡建设局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280" w:firstLineChars="165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2021年1月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日</w:t>
      </w:r>
    </w:p>
    <w:sectPr>
      <w:pgSz w:w="11906" w:h="16838"/>
      <w:pgMar w:top="204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46"/>
    <w:rsid w:val="000907D7"/>
    <w:rsid w:val="000B3DDF"/>
    <w:rsid w:val="000F3EB2"/>
    <w:rsid w:val="001150CB"/>
    <w:rsid w:val="00120E87"/>
    <w:rsid w:val="00126293"/>
    <w:rsid w:val="001322E3"/>
    <w:rsid w:val="00157563"/>
    <w:rsid w:val="00194126"/>
    <w:rsid w:val="0019522F"/>
    <w:rsid w:val="0022056F"/>
    <w:rsid w:val="00223282"/>
    <w:rsid w:val="00362CB8"/>
    <w:rsid w:val="003B6E2B"/>
    <w:rsid w:val="003C4CCE"/>
    <w:rsid w:val="003E4C7E"/>
    <w:rsid w:val="003F55CD"/>
    <w:rsid w:val="005458A5"/>
    <w:rsid w:val="005673E8"/>
    <w:rsid w:val="005A1E10"/>
    <w:rsid w:val="006118EA"/>
    <w:rsid w:val="00622C73"/>
    <w:rsid w:val="006254A0"/>
    <w:rsid w:val="00665ECC"/>
    <w:rsid w:val="006E3962"/>
    <w:rsid w:val="007221D4"/>
    <w:rsid w:val="007F3F4A"/>
    <w:rsid w:val="00873CA1"/>
    <w:rsid w:val="00915B35"/>
    <w:rsid w:val="00917016"/>
    <w:rsid w:val="00951308"/>
    <w:rsid w:val="0095493A"/>
    <w:rsid w:val="009B15D1"/>
    <w:rsid w:val="00A1106E"/>
    <w:rsid w:val="00A27E23"/>
    <w:rsid w:val="00A74546"/>
    <w:rsid w:val="00AD7F35"/>
    <w:rsid w:val="00AE68FF"/>
    <w:rsid w:val="00C20CDA"/>
    <w:rsid w:val="00D06617"/>
    <w:rsid w:val="00DA0BB9"/>
    <w:rsid w:val="00E06DB2"/>
    <w:rsid w:val="00E84A54"/>
    <w:rsid w:val="00ED5EEC"/>
    <w:rsid w:val="00EF77A8"/>
    <w:rsid w:val="00F20359"/>
    <w:rsid w:val="00F26398"/>
    <w:rsid w:val="00F71225"/>
    <w:rsid w:val="00F936A3"/>
    <w:rsid w:val="00FC4699"/>
    <w:rsid w:val="02446330"/>
    <w:rsid w:val="0D051AEA"/>
    <w:rsid w:val="18434D45"/>
    <w:rsid w:val="26DF24A2"/>
    <w:rsid w:val="2EE87D41"/>
    <w:rsid w:val="3172522D"/>
    <w:rsid w:val="33045F04"/>
    <w:rsid w:val="33452BAA"/>
    <w:rsid w:val="34463D2F"/>
    <w:rsid w:val="37925635"/>
    <w:rsid w:val="40CD0C6A"/>
    <w:rsid w:val="429E631C"/>
    <w:rsid w:val="4C361BE3"/>
    <w:rsid w:val="57D73E4B"/>
    <w:rsid w:val="606B1C65"/>
    <w:rsid w:val="64CE08EF"/>
    <w:rsid w:val="67974DB0"/>
    <w:rsid w:val="68EA072F"/>
    <w:rsid w:val="6ACC42B8"/>
    <w:rsid w:val="6F172CBE"/>
    <w:rsid w:val="729E2925"/>
    <w:rsid w:val="77896487"/>
    <w:rsid w:val="7B650B29"/>
    <w:rsid w:val="7BD215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391</Words>
  <Characters>2230</Characters>
  <Lines>18</Lines>
  <Paragraphs>5</Paragraphs>
  <TotalTime>0</TotalTime>
  <ScaleCrop>false</ScaleCrop>
  <LinksUpToDate>false</LinksUpToDate>
  <CharactersWithSpaces>2616</CharactersWithSpaces>
  <Application>WPS Office_10.1.0.6026_F1E327BC-269C-435d-A152-05C5408002CA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2020-12-28T07:51:00Z</dcterms:created>
  <dc:creator>李一鸣</dc:creator>
  <cp:lastModifiedBy>住建局</cp:lastModifiedBy>
  <cp:lastPrinted>2021-01-15T06:27:00Z</cp:lastPrinted>
  <dcterms:modified xsi:type="dcterms:W3CDTF">2021-01-30T09:03:23Z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2052-10.1.0.6026</vt:lpwstr>
  </property>
</Properties>
</file>