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松北区生态水务局2020年政府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信息公开工作年度报告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根据《中华人民共和国政府信息公开条例》、《环境信息公开办法（试行）》、《黑龙江省政府信息公开规定》、《黑龙江省政府环境信息公开暂行制度》等相关文件规定，及《松北区政府办公室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关于政务公开年报编制与发布的通知》相关要求，我局根据年初以来信息公开情况，编制本报告。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报告内容包括：基本情况、信息公开情况、政府信息依申请公开办理情况、因政府信息公开申请行政复议情况、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政府信息公开工作存在的主要问题及改进情况、需要说明的其他事项</w:t>
      </w:r>
      <w:r>
        <w:rPr>
          <w:rFonts w:hint="eastAsia" w:ascii="仿宋_GB2312" w:eastAsia="仿宋_GB2312"/>
          <w:sz w:val="32"/>
          <w:szCs w:val="32"/>
        </w:rPr>
        <w:t>六部分。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本年报中所列数据的统计期限自2020年1月1日起至2020年12月31日止。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如对本年报有疑问，请与松北区生态环境和水务局办公室联系（地址：哈尔滨市松北区创新一路路625号，邮编：150028，联系电话：0451-88107080）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（一）建立机制、健全制度，保证工作落实到位。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健全工作机制。根据2020年工作实际，在信息公开工作中加强内部协调、加大信息公开的管理和审查力度，不断完善对信息公开内容的时效性和保密性的监督检查制度。认真研究部署环境、水务信息公开工作开展，健全信息公开工作机制，进一步规范信息公开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制定工作制度。本着坚持“公正、公平、合法、真实、便民、及时、便于监督”的政府信息公开原则，严格按照政府信息公开的工作要求，制定各项信息公开工作。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学习工作精神。根据我区2020年政务公开工作要点，工作人员继续深入学习信息公开相关条例、办法。不断提高信息公开工作业务技能，严格政府信息公开的工作要求，确保环境、水务领域信息能够按规定及时公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4.落实工作内容。按照年初确定的相关内容，严格执行相关工作，不定期检查局属相关部门信息公开情况，保证各项工作信息公开落到实处，防止出现漏公开、少公开等情况。全年任务全部完成。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成立机构，指定人员</w:t>
      </w:r>
      <w:r>
        <w:rPr>
          <w:rFonts w:hint="eastAsia" w:ascii="楷体" w:hAnsi="楷体" w:eastAsia="楷体" w:cs="楷体"/>
          <w:sz w:val="32"/>
          <w:szCs w:val="32"/>
        </w:rPr>
        <w:t>，保证工作落实到位</w:t>
      </w:r>
      <w:r>
        <w:rPr>
          <w:rFonts w:hint="eastAsia" w:ascii="楷体_GB2312" w:eastAsia="楷体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以副局长为组长，办公室主任为副组长、相关科室负责人为成员的政务公开领导小组，办公室作为信息公开工作的办理机构，配备1名工作人员负责政府信息公开工作，不断加强与各科室沟通协调、密切配合。局属事业单位指定专人，及时推送相关信息，并对推送信息负责，保证信息公开的时效性、真实性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（三）精心组织，</w:t>
      </w:r>
      <w:r>
        <w:rPr>
          <w:rFonts w:hint="eastAsia" w:ascii="楷体" w:hAnsi="楷体" w:eastAsia="楷体" w:cs="楷体"/>
          <w:sz w:val="32"/>
          <w:szCs w:val="32"/>
        </w:rPr>
        <w:t>强化检查，保证工作落实到位</w:t>
      </w:r>
      <w:r>
        <w:rPr>
          <w:rFonts w:hint="eastAsia" w:ascii="楷体_GB2312" w:eastAsia="楷体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不断推进重要决策公开，强化政策解读和社会关切回应，推动环保、水务系统政务公开持续发展，自觉把政府信息公开纳入总体工作部署，精心组织，稳步推进，保证需要公开的信息应公开尽公开。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二、公开信息情况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（一）信息公开数量。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2020年我局主动公开政府采购事项17条。划转到审批、执法部门的政务信息，有相关部门予以公开。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（二）信息公开类别。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主动公开政府信息类别主要包括环境、水务工作重要事项（预算、决算）等内容。均按照规定的信息上传工作时间及时上网发布。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（三）信息公开形式。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主要通过“松北区人民政府网站”等平台主动公开政府信息。</w:t>
      </w:r>
    </w:p>
    <w:tbl>
      <w:tblPr>
        <w:tblStyle w:val="5"/>
        <w:tblW w:w="9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4"/>
        <w:gridCol w:w="2051"/>
        <w:gridCol w:w="2309"/>
        <w:gridCol w:w="20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9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本年新公开数量</w:t>
            </w:r>
          </w:p>
        </w:tc>
        <w:tc>
          <w:tcPr>
            <w:tcW w:w="2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2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4469.439978万元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2020年我局收到一个要求公开政府信息的申请，按照时限要求，已予以公开。</w:t>
      </w:r>
    </w:p>
    <w:tbl>
      <w:tblPr>
        <w:tblStyle w:val="5"/>
        <w:tblW w:w="93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（三）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公开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（四）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无法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提供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（五）不予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处理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2020年我局没有发生因政府信息公开申请行政复议和提起行政诉讼案件。</w:t>
      </w:r>
    </w:p>
    <w:tbl>
      <w:tblPr>
        <w:tblStyle w:val="5"/>
        <w:tblW w:w="9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62"/>
        <w:gridCol w:w="662"/>
        <w:gridCol w:w="581"/>
        <w:gridCol w:w="554"/>
        <w:gridCol w:w="661"/>
        <w:gridCol w:w="674"/>
        <w:gridCol w:w="742"/>
        <w:gridCol w:w="688"/>
        <w:gridCol w:w="661"/>
        <w:gridCol w:w="634"/>
        <w:gridCol w:w="634"/>
        <w:gridCol w:w="661"/>
        <w:gridCol w:w="59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1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34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持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（一）存在问题。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1.政府信息公开发布的时效性需进一步完善。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2.政策解读工作等方面还需进一步提升。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（二）改进措施。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1.积极督促相关部门，及时发布需要公开的政务信息，保证信息公开的时效性。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2.结合工作实际，加强对属于主动公开的，涉及面广、社会关注度高的环境、水务领域政策文件的解读。对各类公开的内容进行进一步规范和梳理，不断提高我局政府信息公开质量。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哈尔滨市松北区生态环境和水务局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531" w:bottom="1984" w:left="153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170907"/>
    <w:rsid w:val="002A0288"/>
    <w:rsid w:val="003221CF"/>
    <w:rsid w:val="003D5619"/>
    <w:rsid w:val="00730C9F"/>
    <w:rsid w:val="00840359"/>
    <w:rsid w:val="008E44D6"/>
    <w:rsid w:val="00921B67"/>
    <w:rsid w:val="00A84352"/>
    <w:rsid w:val="00AA05F6"/>
    <w:rsid w:val="00AA354B"/>
    <w:rsid w:val="00BA7711"/>
    <w:rsid w:val="00BB0079"/>
    <w:rsid w:val="00C25D0F"/>
    <w:rsid w:val="00C737DE"/>
    <w:rsid w:val="00FA6262"/>
    <w:rsid w:val="071339E8"/>
    <w:rsid w:val="0D471C48"/>
    <w:rsid w:val="0E81290D"/>
    <w:rsid w:val="10CD038F"/>
    <w:rsid w:val="2F8C34B6"/>
    <w:rsid w:val="33C93180"/>
    <w:rsid w:val="387E2C32"/>
    <w:rsid w:val="39657375"/>
    <w:rsid w:val="3C111A56"/>
    <w:rsid w:val="46AE6042"/>
    <w:rsid w:val="497130F4"/>
    <w:rsid w:val="4C62085F"/>
    <w:rsid w:val="539842E3"/>
    <w:rsid w:val="55042E0D"/>
    <w:rsid w:val="5F434539"/>
    <w:rsid w:val="663100A8"/>
    <w:rsid w:val="6C261F37"/>
    <w:rsid w:val="77BE083A"/>
    <w:rsid w:val="7CC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2326</Characters>
  <Lines>19</Lines>
  <Paragraphs>5</Paragraphs>
  <TotalTime>2</TotalTime>
  <ScaleCrop>false</ScaleCrop>
  <LinksUpToDate>false</LinksUpToDate>
  <CharactersWithSpaces>2729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龙宇</cp:lastModifiedBy>
  <dcterms:modified xsi:type="dcterms:W3CDTF">2023-10-24T10:25:01Z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