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jc w:val="center"/>
        <w:rPr>
          <w:rFonts w:ascii="文星简小标宋" w:eastAsia="文星简小标宋"/>
          <w:color w:val="000000" w:themeColor="text1"/>
          <w:sz w:val="28"/>
          <w:szCs w:val="28"/>
          <w14:textFill>
            <w14:solidFill>
              <w14:schemeClr w14:val="tx1"/>
            </w14:solidFill>
          </w14:textFill>
        </w:rPr>
      </w:pPr>
    </w:p>
    <w:p>
      <w:pPr>
        <w:pStyle w:val="8"/>
        <w:spacing w:line="360" w:lineRule="auto"/>
        <w:jc w:val="center"/>
        <w:rPr>
          <w:rFonts w:ascii="文星简小标宋" w:eastAsia="文星简小标宋"/>
          <w:color w:val="000000" w:themeColor="text1"/>
          <w:sz w:val="44"/>
          <w:szCs w:val="44"/>
          <w14:textFill>
            <w14:solidFill>
              <w14:schemeClr w14:val="tx1"/>
            </w14:solidFill>
          </w14:textFill>
        </w:rPr>
      </w:pPr>
      <w:r>
        <w:rPr>
          <w:rFonts w:hint="eastAsia" w:ascii="文星简小标宋" w:eastAsia="文星简小标宋"/>
          <w:color w:val="000000" w:themeColor="text1"/>
          <w:sz w:val="44"/>
          <w:szCs w:val="44"/>
          <w14:textFill>
            <w14:solidFill>
              <w14:schemeClr w14:val="tx1"/>
            </w14:solidFill>
          </w14:textFill>
        </w:rPr>
        <w:t>哈尔滨市松北区三年（2019-2022年）</w:t>
      </w:r>
      <w:r>
        <w:rPr>
          <w:rFonts w:hint="eastAsia" w:ascii="文星简小标宋" w:eastAsia="文星简小标宋"/>
          <w:color w:val="000000" w:themeColor="text1"/>
          <w:sz w:val="44"/>
          <w:szCs w:val="44"/>
          <w:lang w:val="en-US" w:eastAsia="zh-CN"/>
          <w14:textFill>
            <w14:solidFill>
              <w14:schemeClr w14:val="tx1"/>
            </w14:solidFill>
          </w14:textFill>
        </w:rPr>
        <w:t>疾病预防控制</w:t>
      </w:r>
      <w:bookmarkStart w:id="0" w:name="_GoBack"/>
      <w:bookmarkEnd w:id="0"/>
      <w:r>
        <w:rPr>
          <w:rFonts w:hint="eastAsia" w:ascii="文星简小标宋" w:eastAsia="文星简小标宋"/>
          <w:color w:val="000000" w:themeColor="text1"/>
          <w:sz w:val="44"/>
          <w:szCs w:val="44"/>
          <w:lang w:val="en-US" w:eastAsia="zh-CN"/>
          <w14:textFill>
            <w14:solidFill>
              <w14:schemeClr w14:val="tx1"/>
            </w14:solidFill>
          </w14:textFill>
        </w:rPr>
        <w:t>规划</w:t>
      </w:r>
    </w:p>
    <w:tbl>
      <w:tblPr>
        <w:tblStyle w:val="5"/>
        <w:tblW w:w="12498" w:type="dxa"/>
        <w:jc w:val="center"/>
        <w:tblInd w:w="0" w:type="dxa"/>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5"/>
        <w:gridCol w:w="3473"/>
        <w:gridCol w:w="1680"/>
        <w:gridCol w:w="6720"/>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blHeader/>
          <w:jc w:val="center"/>
        </w:trPr>
        <w:tc>
          <w:tcPr>
            <w:tcW w:w="625" w:type="dxa"/>
            <w:tcBorders>
              <w:top w:val="single" w:color="auto" w:sz="18" w:space="0"/>
            </w:tcBorders>
            <w:vAlign w:val="center"/>
          </w:tcPr>
          <w:p>
            <w:pPr>
              <w:spacing w:line="360" w:lineRule="auto"/>
              <w:jc w:val="center"/>
              <w:rPr>
                <w:rFonts w:asci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类别</w:t>
            </w:r>
          </w:p>
        </w:tc>
        <w:tc>
          <w:tcPr>
            <w:tcW w:w="3473" w:type="dxa"/>
            <w:tcBorders>
              <w:top w:val="single" w:color="auto" w:sz="18" w:space="0"/>
            </w:tcBorders>
            <w:vAlign w:val="center"/>
          </w:tcPr>
          <w:p>
            <w:pPr>
              <w:spacing w:line="360" w:lineRule="auto"/>
              <w:jc w:val="center"/>
              <w:rPr>
                <w:rFonts w:asci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指</w:t>
            </w:r>
            <w:r>
              <w:rPr>
                <w:rFonts w:ascii="宋体" w:hAnsi="宋体"/>
                <w:b/>
                <w:bCs/>
                <w:color w:val="000000" w:themeColor="text1"/>
                <w14:textFill>
                  <w14:solidFill>
                    <w14:schemeClr w14:val="tx1"/>
                  </w14:solidFill>
                </w14:textFill>
              </w:rPr>
              <w:t xml:space="preserve">             </w:t>
            </w:r>
            <w:r>
              <w:rPr>
                <w:rFonts w:hint="eastAsia" w:ascii="宋体" w:hAnsi="宋体"/>
                <w:b/>
                <w:bCs/>
                <w:color w:val="000000" w:themeColor="text1"/>
                <w14:textFill>
                  <w14:solidFill>
                    <w14:schemeClr w14:val="tx1"/>
                  </w14:solidFill>
                </w14:textFill>
              </w:rPr>
              <w:t>标</w:t>
            </w:r>
          </w:p>
        </w:tc>
        <w:tc>
          <w:tcPr>
            <w:tcW w:w="1680" w:type="dxa"/>
            <w:tcBorders>
              <w:top w:val="single" w:color="auto" w:sz="18" w:space="0"/>
            </w:tcBorders>
            <w:vAlign w:val="center"/>
          </w:tcPr>
          <w:p>
            <w:pPr>
              <w:spacing w:line="360" w:lineRule="auto"/>
              <w:jc w:val="center"/>
              <w:rPr>
                <w:rFonts w:asci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202</w:t>
            </w:r>
            <w:r>
              <w:rPr>
                <w:rFonts w:hint="eastAsia" w:ascii="宋体" w:hAnsi="宋体"/>
                <w:b/>
                <w:bCs/>
                <w:color w:val="000000" w:themeColor="text1"/>
                <w:lang w:val="en-US" w:eastAsia="zh-CN"/>
                <w14:textFill>
                  <w14:solidFill>
                    <w14:schemeClr w14:val="tx1"/>
                  </w14:solidFill>
                </w14:textFill>
              </w:rPr>
              <w:t>2</w:t>
            </w:r>
            <w:r>
              <w:rPr>
                <w:rFonts w:hint="eastAsia" w:ascii="宋体" w:hAnsi="宋体"/>
                <w:b/>
                <w:bCs/>
                <w:color w:val="000000" w:themeColor="text1"/>
                <w14:textFill>
                  <w14:solidFill>
                    <w14:schemeClr w14:val="tx1"/>
                  </w14:solidFill>
                </w14:textFill>
              </w:rPr>
              <w:t>年目标</w:t>
            </w:r>
          </w:p>
        </w:tc>
        <w:tc>
          <w:tcPr>
            <w:tcW w:w="6720" w:type="dxa"/>
            <w:tcBorders>
              <w:top w:val="single" w:color="auto" w:sz="18" w:space="0"/>
            </w:tcBorders>
            <w:vAlign w:val="center"/>
          </w:tcPr>
          <w:p>
            <w:pPr>
              <w:spacing w:line="360" w:lineRule="auto"/>
              <w:jc w:val="center"/>
              <w:rPr>
                <w:rFonts w:asci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简要说明</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tcBorders>
              <w:top w:val="single" w:color="auto" w:sz="12" w:space="0"/>
            </w:tcBorders>
            <w:vAlign w:val="center"/>
          </w:tcPr>
          <w:p>
            <w:pPr>
              <w:spacing w:line="360" w:lineRule="auto"/>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主要健康指标</w:t>
            </w:r>
          </w:p>
        </w:tc>
        <w:tc>
          <w:tcPr>
            <w:tcW w:w="3473" w:type="dxa"/>
            <w:tcBorders>
              <w:top w:val="single" w:color="auto" w:sz="12" w:space="0"/>
            </w:tcBorders>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、居民人均期望寿命</w:t>
            </w:r>
          </w:p>
        </w:tc>
        <w:tc>
          <w:tcPr>
            <w:tcW w:w="1680" w:type="dxa"/>
            <w:tcBorders>
              <w:top w:val="single" w:color="auto" w:sz="12" w:space="0"/>
            </w:tcBorders>
            <w:vAlign w:val="center"/>
          </w:tcPr>
          <w:p>
            <w:pPr>
              <w:spacing w:line="360" w:lineRule="auto"/>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79.15</w:t>
            </w:r>
            <w:r>
              <w:rPr>
                <w:rFonts w:hint="eastAsia" w:ascii="宋体" w:hAnsi="宋体"/>
                <w:color w:val="000000" w:themeColor="text1"/>
                <w14:textFill>
                  <w14:solidFill>
                    <w14:schemeClr w14:val="tx1"/>
                  </w14:solidFill>
                </w14:textFill>
              </w:rPr>
              <w:t>岁</w:t>
            </w:r>
          </w:p>
        </w:tc>
        <w:tc>
          <w:tcPr>
            <w:tcW w:w="6720" w:type="dxa"/>
            <w:tcBorders>
              <w:top w:val="single" w:color="auto" w:sz="12" w:space="0"/>
            </w:tcBorders>
          </w:tcPr>
          <w:p>
            <w:pPr>
              <w:spacing w:line="360" w:lineRule="auto"/>
              <w:rPr>
                <w:rFonts w:ascii="宋体"/>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restart"/>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疾病控制指标</w:t>
            </w:r>
          </w:p>
        </w:tc>
        <w:tc>
          <w:tcPr>
            <w:tcW w:w="3473" w:type="dxa"/>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、存活的艾滋病感染者和病人数量</w:t>
            </w:r>
          </w:p>
        </w:tc>
        <w:tc>
          <w:tcPr>
            <w:tcW w:w="1680" w:type="dxa"/>
            <w:tcBorders>
              <w:top w:val="nil"/>
            </w:tcBorders>
            <w:vAlign w:val="center"/>
          </w:tcPr>
          <w:p>
            <w:pPr>
              <w:spacing w:line="360" w:lineRule="auto"/>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346人</w:t>
            </w:r>
          </w:p>
        </w:tc>
        <w:tc>
          <w:tcPr>
            <w:tcW w:w="6720" w:type="dxa"/>
          </w:tcPr>
          <w:p>
            <w:pPr>
              <w:spacing w:line="360" w:lineRule="auto"/>
              <w:rPr>
                <w:rFonts w:ascii="宋体"/>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、以乡镇为单位适龄儿童免疫规划疫苗接种率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95%</w:t>
            </w:r>
          </w:p>
        </w:tc>
        <w:tc>
          <w:tcPr>
            <w:tcW w:w="6720" w:type="dxa"/>
          </w:tcPr>
          <w:p>
            <w:pPr>
              <w:spacing w:line="360" w:lineRule="auto"/>
              <w:rPr>
                <w:rFonts w:hint="eastAsia"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保持不低于</w:t>
            </w:r>
            <w:r>
              <w:rPr>
                <w:rFonts w:ascii="宋体" w:hAnsi="宋体"/>
                <w:color w:val="000000" w:themeColor="text1"/>
                <w14:textFill>
                  <w14:solidFill>
                    <w14:schemeClr w14:val="tx1"/>
                  </w14:solidFill>
                </w14:textFill>
              </w:rPr>
              <w:t>95%</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、高血压患者规范管理率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60</w:t>
            </w:r>
            <w:r>
              <w:rPr>
                <w:rFonts w:ascii="宋体" w:hAnsi="宋体"/>
                <w:color w:val="000000" w:themeColor="text1"/>
                <w14:textFill>
                  <w14:solidFill>
                    <w14:schemeClr w14:val="tx1"/>
                  </w14:solidFill>
                </w14:textFill>
              </w:rPr>
              <w:t>%</w:t>
            </w:r>
          </w:p>
        </w:tc>
        <w:tc>
          <w:tcPr>
            <w:tcW w:w="6720" w:type="dxa"/>
          </w:tcPr>
          <w:p>
            <w:pPr>
              <w:spacing w:line="360" w:lineRule="auto"/>
              <w:rPr>
                <w:rFonts w:ascii="宋体"/>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、糖尿病患者规范管理率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60</w:t>
            </w:r>
            <w:r>
              <w:rPr>
                <w:rFonts w:ascii="宋体" w:hAnsi="宋体"/>
                <w:color w:val="000000" w:themeColor="text1"/>
                <w14:textFill>
                  <w14:solidFill>
                    <w14:schemeClr w14:val="tx1"/>
                  </w14:solidFill>
                </w14:textFill>
              </w:rPr>
              <w:t>%</w:t>
            </w:r>
          </w:p>
        </w:tc>
        <w:tc>
          <w:tcPr>
            <w:tcW w:w="6720" w:type="dxa"/>
          </w:tcPr>
          <w:p>
            <w:pPr>
              <w:spacing w:line="360" w:lineRule="auto"/>
              <w:rPr>
                <w:rFonts w:ascii="宋体"/>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6、医疗机构传染病防治督导覆盖率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100%</w:t>
            </w:r>
          </w:p>
        </w:tc>
        <w:tc>
          <w:tcPr>
            <w:tcW w:w="6720" w:type="dxa"/>
          </w:tcPr>
          <w:p>
            <w:pPr>
              <w:spacing w:line="360" w:lineRule="auto"/>
              <w:rPr>
                <w:rFonts w:ascii="宋体"/>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restart"/>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各专业指标</w:t>
            </w: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全年疫情报告综合评价指标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rFonts w:hint="eastAsia"/>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8、报告死亡率</w:t>
            </w:r>
          </w:p>
        </w:tc>
        <w:tc>
          <w:tcPr>
            <w:tcW w:w="1680" w:type="dxa"/>
            <w:vAlign w:val="center"/>
          </w:tcPr>
          <w:p>
            <w:pPr>
              <w:spacing w:line="360" w:lineRule="auto"/>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600/10</w:t>
            </w:r>
            <w:r>
              <w:rPr>
                <w:rFonts w:hint="eastAsia" w:ascii="宋体" w:hAnsi="宋体"/>
                <w:color w:val="000000" w:themeColor="text1"/>
                <w14:textFill>
                  <w14:solidFill>
                    <w14:schemeClr w14:val="tx1"/>
                  </w14:solidFill>
                </w14:textFill>
              </w:rPr>
              <w:t>万</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9、新生儿首针及时接种率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0、规范接种单位覆盖率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1、疫苗接种疑似异常反应监测覆盖率及规范处置率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2、适龄儿童建卡、建证率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95%</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13、入托、入学儿童接种证查验率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95%</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4、新生儿预防接种信息化入网率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95%</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15、接种监测报告覆盖率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16、流动儿童接种率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17、全人群乙肝表面抗原携带率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7%</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18、</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岁以下儿童乙肝表面抗原携带率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19、高危人群接受艾滋病和梅毒检测并知晓检测结果的比例</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0、当年存活的艾滋病病毒感染者和病人中，接受规范化随访管理的比例，以及感染者和病人的配偶或固定性伴进行艾滋病病毒抗体检测的比例</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1、艾滋病相关知识知晓率校内青少年比例</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95%</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2、艾滋病相关知识知晓率校外青少年比例</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23、医务人员接受鼠疫防治知识与技能培训率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24、鼠疫防治知识群众知晓率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95%</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5、布鲁氏菌病疫区居民防治知识知晓率</w:t>
            </w:r>
          </w:p>
        </w:tc>
        <w:tc>
          <w:tcPr>
            <w:tcW w:w="1680" w:type="dxa"/>
            <w:vAlign w:val="center"/>
          </w:tcPr>
          <w:p>
            <w:pPr>
              <w:spacing w:line="360" w:lineRule="auto"/>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95</w:t>
            </w:r>
            <w:r>
              <w:rPr>
                <w:rFonts w:hint="eastAsia" w:ascii="宋体" w:hAnsi="宋体"/>
                <w:color w:val="000000" w:themeColor="text1"/>
                <w14:textFill>
                  <w14:solidFill>
                    <w14:schemeClr w14:val="tx1"/>
                  </w14:solidFill>
                </w14:textFill>
              </w:rPr>
              <w:t>％</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26、布鲁氏菌病疫区从事畜牧养殖、加工、经营人员防治知识普及率</w:t>
            </w:r>
          </w:p>
        </w:tc>
        <w:tc>
          <w:tcPr>
            <w:tcW w:w="1680" w:type="dxa"/>
            <w:vAlign w:val="center"/>
          </w:tcPr>
          <w:p>
            <w:pPr>
              <w:spacing w:line="360" w:lineRule="auto"/>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100</w:t>
            </w:r>
            <w:r>
              <w:rPr>
                <w:rFonts w:hint="eastAsia" w:ascii="宋体" w:hAnsi="宋体"/>
                <w:color w:val="000000" w:themeColor="text1"/>
                <w14:textFill>
                  <w14:solidFill>
                    <w14:schemeClr w14:val="tx1"/>
                  </w14:solidFill>
                </w14:textFill>
              </w:rPr>
              <w:t>％</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27、突发公共卫生事件报告及时率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28、重点食品监测样品量比例</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29、营养和健康认知率达到</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85%</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0、食源性疾病监测哨点医院</w:t>
            </w:r>
          </w:p>
        </w:tc>
        <w:tc>
          <w:tcPr>
            <w:tcW w:w="1680" w:type="dxa"/>
            <w:vAlign w:val="center"/>
          </w:tcPr>
          <w:p>
            <w:pPr>
              <w:spacing w:line="360" w:lineRule="auto"/>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13家</w:t>
            </w:r>
          </w:p>
        </w:tc>
        <w:tc>
          <w:tcPr>
            <w:tcW w:w="6720" w:type="dxa"/>
          </w:tcPr>
          <w:p>
            <w:pPr>
              <w:spacing w:line="360" w:lineRule="auto"/>
              <w:rPr>
                <w:rFonts w:ascii="宋体"/>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1、全区水质监测点农村乡镇覆盖率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80%</w:t>
            </w:r>
          </w:p>
        </w:tc>
        <w:tc>
          <w:tcPr>
            <w:tcW w:w="6720" w:type="dxa"/>
          </w:tcPr>
          <w:p>
            <w:pPr>
              <w:spacing w:line="360" w:lineRule="auto"/>
              <w:rPr>
                <w:rFonts w:ascii="宋体"/>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2、目标人群行为干预指数</w:t>
            </w:r>
          </w:p>
        </w:tc>
        <w:tc>
          <w:tcPr>
            <w:tcW w:w="1680" w:type="dxa"/>
            <w:vAlign w:val="center"/>
          </w:tcPr>
          <w:p>
            <w:pPr>
              <w:spacing w:line="360" w:lineRule="auto"/>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0.8</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3、目标人群重点疾病卫生防病知识知晓率</w:t>
            </w:r>
          </w:p>
        </w:tc>
        <w:tc>
          <w:tcPr>
            <w:tcW w:w="1680"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80%</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hAnsi="宋体"/>
                <w:color w:val="000000" w:themeColor="text1"/>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34、完成并发挥应急指挥中心主要功能</w:t>
            </w:r>
          </w:p>
        </w:tc>
        <w:tc>
          <w:tcPr>
            <w:tcW w:w="1680" w:type="dxa"/>
            <w:vAlign w:val="center"/>
          </w:tcPr>
          <w:p>
            <w:pPr>
              <w:spacing w:line="360" w:lineRule="auto"/>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完善6个方面功能和12项指标</w:t>
            </w:r>
          </w:p>
        </w:tc>
        <w:tc>
          <w:tcPr>
            <w:tcW w:w="6720" w:type="dxa"/>
          </w:tcPr>
          <w:p>
            <w:pPr>
              <w:numPr>
                <w:ilvl w:val="0"/>
                <w:numId w:val="1"/>
              </w:numPr>
              <w:tabs>
                <w:tab w:val="left" w:pos="360"/>
              </w:tabs>
              <w:spacing w:line="360" w:lineRule="auto"/>
              <w:rPr>
                <w:rFonts w:hint="eastAsia"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配备音视频支持和管理系统，</w:t>
            </w:r>
          </w:p>
          <w:p>
            <w:pPr>
              <w:numPr>
                <w:ilvl w:val="0"/>
                <w:numId w:val="1"/>
              </w:numPr>
              <w:tabs>
                <w:tab w:val="left" w:pos="360"/>
              </w:tabs>
              <w:spacing w:line="360" w:lineRule="auto"/>
              <w:rPr>
                <w:rFonts w:hint="eastAsia"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完成信息高效、实时、安全的采集与传输</w:t>
            </w:r>
          </w:p>
          <w:p>
            <w:pPr>
              <w:numPr>
                <w:ilvl w:val="0"/>
                <w:numId w:val="1"/>
              </w:numPr>
              <w:tabs>
                <w:tab w:val="left" w:pos="360"/>
              </w:tabs>
              <w:spacing w:line="360" w:lineRule="auto"/>
              <w:rPr>
                <w:rFonts w:hint="eastAsia"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实现资源共享、远程会商和科学的预警预测</w:t>
            </w:r>
          </w:p>
          <w:p>
            <w:pPr>
              <w:spacing w:line="360" w:lineRule="auto"/>
              <w:rPr>
                <w:color w:val="000000" w:themeColor="text1"/>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4、适时做出应急指挥与决策。</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hint="eastAsia" w:ascii="宋体" w:hAnsi="宋体"/>
                <w:bCs/>
                <w:color w:val="000000" w:themeColor="text1"/>
                <w:sz w:val="24"/>
                <w:szCs w:val="24"/>
                <w14:textFill>
                  <w14:solidFill>
                    <w14:schemeClr w14:val="tx1"/>
                  </w14:solidFill>
                </w14:textFill>
              </w:rPr>
            </w:pPr>
            <w:r>
              <w:rPr>
                <w:rFonts w:hint="eastAsia" w:ascii="宋体"/>
                <w:color w:val="000000" w:themeColor="text1"/>
                <w14:textFill>
                  <w14:solidFill>
                    <w14:schemeClr w14:val="tx1"/>
                  </w14:solidFill>
                </w14:textFill>
              </w:rPr>
              <w:t>35、</w:t>
            </w:r>
            <w:r>
              <w:rPr>
                <w:rFonts w:ascii="宋体"/>
                <w:color w:val="000000" w:themeColor="text1"/>
                <w14:textFill>
                  <w14:solidFill>
                    <w14:schemeClr w14:val="tx1"/>
                  </w14:solidFill>
                </w14:textFill>
              </w:rPr>
              <w:t>探索适合我</w:t>
            </w:r>
            <w:r>
              <w:rPr>
                <w:rFonts w:hint="eastAsia" w:ascii="宋体"/>
                <w:color w:val="000000" w:themeColor="text1"/>
                <w14:textFill>
                  <w14:solidFill>
                    <w14:schemeClr w14:val="tx1"/>
                  </w14:solidFill>
                </w14:textFill>
              </w:rPr>
              <w:t>区</w:t>
            </w:r>
            <w:r>
              <w:rPr>
                <w:rFonts w:ascii="宋体"/>
                <w:color w:val="000000" w:themeColor="text1"/>
                <w14:textFill>
                  <w14:solidFill>
                    <w14:schemeClr w14:val="tx1"/>
                  </w14:solidFill>
                </w14:textFill>
              </w:rPr>
              <w:t>的慢性病综合防控策略、措施和长效管理模式</w:t>
            </w:r>
          </w:p>
        </w:tc>
        <w:tc>
          <w:tcPr>
            <w:tcW w:w="1680" w:type="dxa"/>
            <w:vAlign w:val="center"/>
          </w:tcPr>
          <w:p>
            <w:pPr>
              <w:spacing w:line="360" w:lineRule="auto"/>
              <w:jc w:val="center"/>
              <w:rPr>
                <w:rFonts w:hint="eastAsia" w:ascii="宋体" w:hAnsi="宋体"/>
                <w:color w:val="000000" w:themeColor="text1"/>
                <w14:textFill>
                  <w14:solidFill>
                    <w14:schemeClr w14:val="tx1"/>
                  </w14:solidFill>
                </w14:textFill>
              </w:rPr>
            </w:pPr>
          </w:p>
        </w:tc>
        <w:tc>
          <w:tcPr>
            <w:tcW w:w="6720" w:type="dxa"/>
          </w:tcPr>
          <w:p>
            <w:pPr>
              <w:numPr>
                <w:ilvl w:val="0"/>
                <w:numId w:val="2"/>
              </w:numPr>
              <w:tabs>
                <w:tab w:val="left" w:pos="360"/>
              </w:tabs>
              <w:spacing w:line="360" w:lineRule="auto"/>
              <w:rPr>
                <w:rFonts w:hint="eastAsia"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慢性病人员比例控制在5%以下</w:t>
            </w:r>
          </w:p>
          <w:p>
            <w:pPr>
              <w:numPr>
                <w:ilvl w:val="0"/>
                <w:numId w:val="2"/>
              </w:numPr>
              <w:tabs>
                <w:tab w:val="left" w:pos="360"/>
              </w:tabs>
              <w:spacing w:line="360" w:lineRule="auto"/>
              <w:rPr>
                <w:rFonts w:hint="eastAsia"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每三年完成一次覆盖本辖区全人群1%（或至少3000人）的危险因素监测调查工作</w:t>
            </w:r>
          </w:p>
          <w:p>
            <w:pPr>
              <w:numPr>
                <w:ilvl w:val="0"/>
                <w:numId w:val="2"/>
              </w:numPr>
              <w:tabs>
                <w:tab w:val="left" w:pos="360"/>
              </w:tabs>
              <w:spacing w:line="360" w:lineRule="auto"/>
              <w:rPr>
                <w:rFonts w:hint="eastAsia" w:ascii="宋体" w:hAnsi="宋体"/>
                <w:bCs/>
                <w:color w:val="000000" w:themeColor="text1"/>
                <w:sz w:val="24"/>
                <w:szCs w:val="24"/>
                <w14:textFill>
                  <w14:solidFill>
                    <w14:schemeClr w14:val="tx1"/>
                  </w14:solidFill>
                </w14:textFill>
              </w:rPr>
            </w:pPr>
            <w:r>
              <w:rPr>
                <w:rFonts w:hint="eastAsia" w:ascii="宋体"/>
                <w:color w:val="000000" w:themeColor="text1"/>
                <w14:textFill>
                  <w14:solidFill>
                    <w14:schemeClr w14:val="tx1"/>
                  </w14:solidFill>
                </w14:textFill>
              </w:rPr>
              <w:t>规范开展</w:t>
            </w:r>
            <w:r>
              <w:rPr>
                <w:rFonts w:ascii="宋体"/>
                <w:color w:val="000000" w:themeColor="text1"/>
                <w14:textFill>
                  <w14:solidFill>
                    <w14:schemeClr w14:val="tx1"/>
                  </w14:solidFill>
                </w14:textFill>
              </w:rPr>
              <w:t>死因监测、心脑血管</w:t>
            </w:r>
            <w:r>
              <w:rPr>
                <w:rFonts w:hint="eastAsia" w:ascii="宋体"/>
                <w:color w:val="000000" w:themeColor="text1"/>
                <w14:textFill>
                  <w14:solidFill>
                    <w14:schemeClr w14:val="tx1"/>
                  </w14:solidFill>
                </w14:textFill>
              </w:rPr>
              <w:t>疾病和</w:t>
            </w:r>
            <w:r>
              <w:rPr>
                <w:rFonts w:ascii="宋体"/>
                <w:color w:val="000000" w:themeColor="text1"/>
                <w14:textFill>
                  <w14:solidFill>
                    <w14:schemeClr w14:val="tx1"/>
                  </w14:solidFill>
                </w14:textFill>
              </w:rPr>
              <w:t>肿瘤登记报告</w:t>
            </w:r>
            <w:r>
              <w:rPr>
                <w:rFonts w:hint="eastAsia" w:ascii="宋体"/>
                <w:color w:val="000000" w:themeColor="text1"/>
                <w14:textFill>
                  <w14:solidFill>
                    <w14:schemeClr w14:val="tx1"/>
                  </w14:solidFill>
                </w14:textFill>
              </w:rPr>
              <w:t>工作，加快</w:t>
            </w:r>
            <w:r>
              <w:rPr>
                <w:rFonts w:ascii="宋体"/>
                <w:color w:val="000000" w:themeColor="text1"/>
                <w14:textFill>
                  <w14:solidFill>
                    <w14:schemeClr w14:val="tx1"/>
                  </w14:solidFill>
                </w14:textFill>
              </w:rPr>
              <w:t>慢性病</w:t>
            </w:r>
            <w:r>
              <w:rPr>
                <w:rFonts w:hint="eastAsia" w:ascii="宋体"/>
                <w:color w:val="000000" w:themeColor="text1"/>
                <w14:textFill>
                  <w14:solidFill>
                    <w14:schemeClr w14:val="tx1"/>
                  </w14:solidFill>
                </w14:textFill>
              </w:rPr>
              <w:t>电子化</w:t>
            </w:r>
            <w:r>
              <w:rPr>
                <w:rFonts w:ascii="宋体"/>
                <w:color w:val="000000" w:themeColor="text1"/>
                <w14:textFill>
                  <w14:solidFill>
                    <w14:schemeClr w14:val="tx1"/>
                  </w14:solidFill>
                </w14:textFill>
              </w:rPr>
              <w:t>信息管理</w:t>
            </w:r>
            <w:r>
              <w:rPr>
                <w:rFonts w:hint="eastAsia" w:ascii="宋体"/>
                <w:color w:val="000000" w:themeColor="text1"/>
                <w14:textFill>
                  <w14:solidFill>
                    <w14:schemeClr w14:val="tx1"/>
                  </w14:solidFill>
                </w14:textFill>
              </w:rPr>
              <w:t>的进程。</w:t>
            </w:r>
          </w:p>
          <w:p>
            <w:pPr>
              <w:numPr>
                <w:ilvl w:val="0"/>
                <w:numId w:val="2"/>
              </w:numPr>
              <w:tabs>
                <w:tab w:val="left" w:pos="360"/>
              </w:tabs>
              <w:spacing w:line="360" w:lineRule="auto"/>
              <w:rPr>
                <w:rFonts w:hint="eastAsia" w:ascii="宋体" w:hAnsi="宋体"/>
                <w:bCs/>
                <w:color w:val="000000" w:themeColor="text1"/>
                <w:sz w:val="24"/>
                <w:szCs w:val="24"/>
                <w14:textFill>
                  <w14:solidFill>
                    <w14:schemeClr w14:val="tx1"/>
                  </w14:solidFill>
                </w14:textFill>
              </w:rPr>
            </w:pPr>
            <w:r>
              <w:rPr>
                <w:rFonts w:hint="eastAsia" w:ascii="宋体"/>
                <w:color w:val="000000" w:themeColor="text1"/>
                <w14:textFill>
                  <w14:solidFill>
                    <w14:schemeClr w14:val="tx1"/>
                  </w14:solidFill>
                </w14:textFill>
              </w:rPr>
              <w:t>以</w:t>
            </w:r>
            <w:r>
              <w:rPr>
                <w:rFonts w:ascii="宋体"/>
                <w:color w:val="000000" w:themeColor="text1"/>
                <w14:textFill>
                  <w14:solidFill>
                    <w14:schemeClr w14:val="tx1"/>
                  </w14:solidFill>
                </w14:textFill>
              </w:rPr>
              <w:t>国家基本公共卫生服务规范</w:t>
            </w:r>
            <w:r>
              <w:rPr>
                <w:rFonts w:hint="eastAsia" w:ascii="宋体"/>
                <w:color w:val="000000" w:themeColor="text1"/>
                <w14:textFill>
                  <w14:solidFill>
                    <w14:schemeClr w14:val="tx1"/>
                  </w14:solidFill>
                </w14:textFill>
              </w:rPr>
              <w:t>为依据</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强化</w:t>
            </w:r>
            <w:r>
              <w:rPr>
                <w:rFonts w:ascii="宋体"/>
                <w:color w:val="000000" w:themeColor="text1"/>
                <w14:textFill>
                  <w14:solidFill>
                    <w14:schemeClr w14:val="tx1"/>
                  </w14:solidFill>
                </w14:textFill>
              </w:rPr>
              <w:t>高血压、糖尿病等慢性病患者规范化管理</w:t>
            </w:r>
            <w:r>
              <w:rPr>
                <w:rFonts w:hint="eastAsia" w:ascii="宋体"/>
                <w:color w:val="000000" w:themeColor="text1"/>
                <w14:textFill>
                  <w14:solidFill>
                    <w14:schemeClr w14:val="tx1"/>
                  </w14:solidFill>
                </w14:textFill>
              </w:rPr>
              <w:t>和</w:t>
            </w:r>
            <w:r>
              <w:rPr>
                <w:rFonts w:ascii="宋体"/>
                <w:color w:val="000000" w:themeColor="text1"/>
                <w14:textFill>
                  <w14:solidFill>
                    <w14:schemeClr w14:val="tx1"/>
                  </w14:solidFill>
                </w14:textFill>
              </w:rPr>
              <w:t>慢性病高危人群</w:t>
            </w:r>
            <w:r>
              <w:rPr>
                <w:rFonts w:hint="eastAsia" w:ascii="宋体"/>
                <w:color w:val="000000" w:themeColor="text1"/>
                <w14:textFill>
                  <w14:solidFill>
                    <w14:schemeClr w14:val="tx1"/>
                  </w14:solidFill>
                </w14:textFill>
              </w:rPr>
              <w:t>的</w:t>
            </w:r>
            <w:r>
              <w:rPr>
                <w:rFonts w:ascii="宋体"/>
                <w:color w:val="000000" w:themeColor="text1"/>
                <w14:textFill>
                  <w14:solidFill>
                    <w14:schemeClr w14:val="tx1"/>
                  </w14:solidFill>
                </w14:textFill>
              </w:rPr>
              <w:t>发现</w:t>
            </w:r>
            <w:r>
              <w:rPr>
                <w:rFonts w:hint="eastAsia" w:ascii="宋体"/>
                <w:color w:val="000000" w:themeColor="text1"/>
                <w14:textFill>
                  <w14:solidFill>
                    <w14:schemeClr w14:val="tx1"/>
                  </w14:solidFill>
                </w14:textFill>
              </w:rPr>
              <w:t>与</w:t>
            </w:r>
            <w:r>
              <w:rPr>
                <w:rFonts w:ascii="宋体"/>
                <w:color w:val="000000" w:themeColor="text1"/>
                <w14:textFill>
                  <w14:solidFill>
                    <w14:schemeClr w14:val="tx1"/>
                  </w14:solidFill>
                </w14:textFill>
              </w:rPr>
              <w:t>干预</w:t>
            </w:r>
            <w:r>
              <w:rPr>
                <w:rFonts w:hint="eastAsia" w:ascii="宋体"/>
                <w:color w:val="000000" w:themeColor="text1"/>
                <w14:textFill>
                  <w14:solidFill>
                    <w14:schemeClr w14:val="tx1"/>
                  </w14:solidFill>
                </w14:textFill>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20" w:lineRule="exact"/>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36、食源性疾病溯源平台</w:t>
            </w:r>
          </w:p>
        </w:tc>
        <w:tc>
          <w:tcPr>
            <w:tcW w:w="1680" w:type="dxa"/>
            <w:vAlign w:val="center"/>
          </w:tcPr>
          <w:p>
            <w:pPr>
              <w:spacing w:line="320" w:lineRule="exact"/>
              <w:jc w:val="center"/>
              <w:rPr>
                <w:rFonts w:hint="eastAsia"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初步建成</w:t>
            </w:r>
          </w:p>
        </w:tc>
        <w:tc>
          <w:tcPr>
            <w:tcW w:w="6720" w:type="dxa"/>
            <w:vAlign w:val="center"/>
          </w:tcPr>
          <w:p>
            <w:pPr>
              <w:spacing w:line="320" w:lineRule="exact"/>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实现：</w:t>
            </w:r>
            <w:r>
              <w:rPr>
                <w:rFonts w:ascii="宋体"/>
                <w:color w:val="000000" w:themeColor="text1"/>
                <w14:textFill>
                  <w14:solidFill>
                    <w14:schemeClr w14:val="tx1"/>
                  </w14:solidFill>
                </w14:textFill>
              </w:rPr>
              <w:t>1</w:t>
            </w:r>
            <w:r>
              <w:rPr>
                <w:rFonts w:hint="eastAsia" w:ascii="宋体"/>
                <w:color w:val="000000" w:themeColor="text1"/>
                <w14:textFill>
                  <w14:solidFill>
                    <w14:schemeClr w14:val="tx1"/>
                  </w14:solidFill>
                </w14:textFill>
              </w:rPr>
              <w:t>、查找和确定引起食源性疾病发生的食品或相关因素的来源；</w:t>
            </w:r>
          </w:p>
          <w:p>
            <w:pPr>
              <w:spacing w:line="320" w:lineRule="exact"/>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2</w:t>
            </w:r>
            <w:r>
              <w:rPr>
                <w:rFonts w:hint="eastAsia" w:ascii="宋体"/>
                <w:color w:val="000000" w:themeColor="text1"/>
                <w14:textFill>
                  <w14:solidFill>
                    <w14:schemeClr w14:val="tx1"/>
                  </w14:solidFill>
                </w14:textFill>
              </w:rPr>
              <w:t>、预防和控制食源性疾病或隐患食品造成的危害发生和扩大。</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37、区县疾控绩效考核达标率</w:t>
            </w:r>
          </w:p>
        </w:tc>
        <w:tc>
          <w:tcPr>
            <w:tcW w:w="1680" w:type="dxa"/>
            <w:vAlign w:val="center"/>
          </w:tcPr>
          <w:p>
            <w:pPr>
              <w:spacing w:line="360" w:lineRule="auto"/>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88%</w:t>
            </w: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38、专业技术人员比例</w:t>
            </w:r>
          </w:p>
        </w:tc>
        <w:tc>
          <w:tcPr>
            <w:tcW w:w="1680" w:type="dxa"/>
            <w:vAlign w:val="center"/>
          </w:tcPr>
          <w:p>
            <w:pPr>
              <w:spacing w:line="360" w:lineRule="auto"/>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86</w:t>
            </w:r>
            <w:r>
              <w:rPr>
                <w:rFonts w:ascii="宋体" w:hAnsi="宋体"/>
                <w:color w:val="000000" w:themeColor="text1"/>
                <w14:textFill>
                  <w14:solidFill>
                    <w14:schemeClr w14:val="tx1"/>
                  </w14:solidFill>
                </w14:textFill>
              </w:rPr>
              <w:t>%</w:t>
            </w:r>
          </w:p>
        </w:tc>
        <w:tc>
          <w:tcPr>
            <w:tcW w:w="6720" w:type="dxa"/>
          </w:tcPr>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随着现有人员结构调整和引进，逐步使</w:t>
            </w:r>
            <w:r>
              <w:rPr>
                <w:rFonts w:hint="eastAsia" w:ascii="宋体" w:hAnsi="宋体"/>
                <w:color w:val="000000" w:themeColor="text1"/>
                <w14:textFill>
                  <w14:solidFill>
                    <w14:schemeClr w14:val="tx1"/>
                  </w14:solidFill>
                </w14:textFill>
              </w:rPr>
              <w:t>专业技术人员</w:t>
            </w:r>
            <w:r>
              <w:rPr>
                <w:rFonts w:hint="eastAsia"/>
                <w:color w:val="000000" w:themeColor="text1"/>
                <w14:textFill>
                  <w14:solidFill>
                    <w14:schemeClr w14:val="tx1"/>
                  </w14:solidFill>
                </w14:textFill>
              </w:rPr>
              <w:t>比例达到</w:t>
            </w:r>
            <w:r>
              <w:rPr>
                <w:rFonts w:hint="eastAsia" w:ascii="宋体" w:hAnsi="宋体"/>
                <w:color w:val="000000" w:themeColor="text1"/>
                <w14:textFill>
                  <w14:solidFill>
                    <w14:schemeClr w14:val="tx1"/>
                  </w14:solidFill>
                </w14:textFill>
              </w:rPr>
              <w:t>86</w:t>
            </w:r>
            <w:r>
              <w:rPr>
                <w:rFonts w:ascii="宋体" w:hAnsi="宋体"/>
                <w:color w:val="000000" w:themeColor="text1"/>
                <w14:textFill>
                  <w14:solidFill>
                    <w14:schemeClr w14:val="tx1"/>
                  </w14:solidFill>
                </w14:textFill>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tcPr>
          <w:p>
            <w:pPr>
              <w:spacing w:line="360" w:lineRule="auto"/>
              <w:rPr>
                <w:rFonts w:ascii="宋体"/>
                <w:color w:val="000000" w:themeColor="text1"/>
                <w14:textFill>
                  <w14:solidFill>
                    <w14:schemeClr w14:val="tx1"/>
                  </w14:solidFill>
                </w14:textFill>
              </w:rPr>
            </w:pPr>
          </w:p>
        </w:tc>
        <w:tc>
          <w:tcPr>
            <w:tcW w:w="1680" w:type="dxa"/>
            <w:vAlign w:val="center"/>
          </w:tcPr>
          <w:p>
            <w:pPr>
              <w:spacing w:line="360" w:lineRule="auto"/>
              <w:jc w:val="center"/>
              <w:rPr>
                <w:rFonts w:ascii="宋体"/>
                <w:color w:val="000000" w:themeColor="text1"/>
                <w14:textFill>
                  <w14:solidFill>
                    <w14:schemeClr w14:val="tx1"/>
                  </w14:solidFill>
                </w14:textFill>
              </w:rPr>
            </w:pPr>
          </w:p>
        </w:tc>
        <w:tc>
          <w:tcPr>
            <w:tcW w:w="6720" w:type="dxa"/>
          </w:tcPr>
          <w:p>
            <w:pPr>
              <w:spacing w:line="360" w:lineRule="auto"/>
              <w:rPr>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p>
        </w:tc>
        <w:tc>
          <w:tcPr>
            <w:tcW w:w="1680" w:type="dxa"/>
            <w:vAlign w:val="center"/>
          </w:tcPr>
          <w:p>
            <w:pPr>
              <w:spacing w:line="360" w:lineRule="auto"/>
              <w:jc w:val="center"/>
              <w:rPr>
                <w:rFonts w:ascii="宋体"/>
                <w:color w:val="000000" w:themeColor="text1"/>
                <w14:textFill>
                  <w14:solidFill>
                    <w14:schemeClr w14:val="tx1"/>
                  </w14:solidFill>
                </w14:textFill>
              </w:rPr>
            </w:pPr>
          </w:p>
        </w:tc>
        <w:tc>
          <w:tcPr>
            <w:tcW w:w="6720" w:type="dxa"/>
          </w:tcPr>
          <w:p>
            <w:pPr>
              <w:spacing w:line="360" w:lineRule="auto"/>
              <w:rPr>
                <w:rFonts w:ascii="宋体"/>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 w:type="dxa"/>
            <w:vMerge w:val="continue"/>
            <w:vAlign w:val="center"/>
          </w:tcPr>
          <w:p>
            <w:pPr>
              <w:spacing w:line="360" w:lineRule="auto"/>
              <w:jc w:val="center"/>
              <w:rPr>
                <w:b/>
                <w:bCs/>
                <w:color w:val="000000" w:themeColor="text1"/>
                <w14:textFill>
                  <w14:solidFill>
                    <w14:schemeClr w14:val="tx1"/>
                  </w14:solidFill>
                </w14:textFill>
              </w:rPr>
            </w:pPr>
          </w:p>
        </w:tc>
        <w:tc>
          <w:tcPr>
            <w:tcW w:w="3473" w:type="dxa"/>
            <w:vAlign w:val="center"/>
          </w:tcPr>
          <w:p>
            <w:pPr>
              <w:spacing w:line="360" w:lineRule="auto"/>
              <w:rPr>
                <w:rFonts w:ascii="宋体"/>
                <w:color w:val="000000" w:themeColor="text1"/>
                <w14:textFill>
                  <w14:solidFill>
                    <w14:schemeClr w14:val="tx1"/>
                  </w14:solidFill>
                </w14:textFill>
              </w:rPr>
            </w:pPr>
          </w:p>
        </w:tc>
        <w:tc>
          <w:tcPr>
            <w:tcW w:w="1680" w:type="dxa"/>
            <w:vAlign w:val="center"/>
          </w:tcPr>
          <w:p>
            <w:pPr>
              <w:spacing w:line="360" w:lineRule="auto"/>
              <w:jc w:val="center"/>
              <w:rPr>
                <w:rFonts w:ascii="宋体"/>
                <w:color w:val="000000" w:themeColor="text1"/>
                <w14:textFill>
                  <w14:solidFill>
                    <w14:schemeClr w14:val="tx1"/>
                  </w14:solidFill>
                </w14:textFill>
              </w:rPr>
            </w:pPr>
          </w:p>
        </w:tc>
        <w:tc>
          <w:tcPr>
            <w:tcW w:w="6720" w:type="dxa"/>
          </w:tcPr>
          <w:p>
            <w:pPr>
              <w:spacing w:line="360" w:lineRule="auto"/>
              <w:rPr>
                <w:rFonts w:ascii="宋体"/>
                <w:color w:val="000000" w:themeColor="text1"/>
                <w14:textFill>
                  <w14:solidFill>
                    <w14:schemeClr w14:val="tx1"/>
                  </w14:solidFill>
                </w14:textFill>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625" w:type="dxa"/>
            <w:vMerge w:val="continue"/>
            <w:tcBorders>
              <w:bottom w:val="single" w:color="auto" w:sz="18" w:space="0"/>
            </w:tcBorders>
            <w:vAlign w:val="center"/>
          </w:tcPr>
          <w:p>
            <w:pPr>
              <w:spacing w:line="360" w:lineRule="auto"/>
              <w:jc w:val="center"/>
              <w:rPr>
                <w:b/>
                <w:bCs/>
                <w:color w:val="000000" w:themeColor="text1"/>
                <w14:textFill>
                  <w14:solidFill>
                    <w14:schemeClr w14:val="tx1"/>
                  </w14:solidFill>
                </w14:textFill>
              </w:rPr>
            </w:pPr>
          </w:p>
        </w:tc>
        <w:tc>
          <w:tcPr>
            <w:tcW w:w="3473" w:type="dxa"/>
            <w:tcBorders>
              <w:bottom w:val="single" w:color="auto" w:sz="18" w:space="0"/>
            </w:tcBorders>
          </w:tcPr>
          <w:p>
            <w:pPr>
              <w:spacing w:line="360" w:lineRule="auto"/>
              <w:rPr>
                <w:rFonts w:ascii="宋体"/>
                <w:color w:val="000000" w:themeColor="text1"/>
                <w14:textFill>
                  <w14:solidFill>
                    <w14:schemeClr w14:val="tx1"/>
                  </w14:solidFill>
                </w14:textFill>
              </w:rPr>
            </w:pPr>
          </w:p>
        </w:tc>
        <w:tc>
          <w:tcPr>
            <w:tcW w:w="1680" w:type="dxa"/>
            <w:tcBorders>
              <w:bottom w:val="single" w:color="auto" w:sz="18" w:space="0"/>
            </w:tcBorders>
            <w:vAlign w:val="center"/>
          </w:tcPr>
          <w:p>
            <w:pPr>
              <w:spacing w:line="360" w:lineRule="auto"/>
              <w:jc w:val="center"/>
              <w:rPr>
                <w:rFonts w:ascii="宋体"/>
                <w:color w:val="000000" w:themeColor="text1"/>
                <w14:textFill>
                  <w14:solidFill>
                    <w14:schemeClr w14:val="tx1"/>
                  </w14:solidFill>
                </w14:textFill>
              </w:rPr>
            </w:pPr>
          </w:p>
        </w:tc>
        <w:tc>
          <w:tcPr>
            <w:tcW w:w="6720" w:type="dxa"/>
            <w:tcBorders>
              <w:bottom w:val="single" w:color="auto" w:sz="18" w:space="0"/>
            </w:tcBorders>
          </w:tcPr>
          <w:p>
            <w:pPr>
              <w:spacing w:line="360" w:lineRule="auto"/>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星简小标宋">
    <w:altName w:val="宋体"/>
    <w:panose1 w:val="00000000000000000000"/>
    <w:charset w:val="86"/>
    <w:family w:val="decorative"/>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5567604">
    <w:nsid w:val="7B1E0F74"/>
    <w:multiLevelType w:val="multilevel"/>
    <w:tmpl w:val="7B1E0F74"/>
    <w:lvl w:ilvl="0" w:tentative="1">
      <w:start w:val="1"/>
      <w:numFmt w:val="decimal"/>
      <w:lvlText w:val="%1、"/>
      <w:lvlJc w:val="left"/>
      <w:pPr>
        <w:tabs>
          <w:tab w:val="left" w:pos="360"/>
        </w:tabs>
        <w:ind w:left="360" w:hanging="360"/>
      </w:pPr>
      <w:rPr>
        <w:rFonts w:hint="default"/>
        <w:color w:val="auto"/>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27532339">
    <w:nsid w:val="2B5D4333"/>
    <w:multiLevelType w:val="multilevel"/>
    <w:tmpl w:val="2B5D4333"/>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727532339"/>
  </w:num>
  <w:num w:numId="2">
    <w:abstractNumId w:val="20655676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7B"/>
    <w:rsid w:val="0003742D"/>
    <w:rsid w:val="001E47AD"/>
    <w:rsid w:val="005C7968"/>
    <w:rsid w:val="0093242A"/>
    <w:rsid w:val="00B4267B"/>
    <w:rsid w:val="00E8142C"/>
    <w:rsid w:val="0C35615D"/>
    <w:rsid w:val="0C3B6B9E"/>
    <w:rsid w:val="17255D87"/>
    <w:rsid w:val="2B827A70"/>
    <w:rsid w:val="2BBD0B4F"/>
    <w:rsid w:val="7E3F05F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qFormat/>
    <w:uiPriority w:val="99"/>
    <w:rPr>
      <w:sz w:val="18"/>
      <w:szCs w:val="18"/>
    </w:rPr>
  </w:style>
  <w:style w:type="paragraph" w:customStyle="1" w:styleId="8">
    <w:name w:val="No Spacing"/>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210</Words>
  <Characters>1201</Characters>
  <Lines>10</Lines>
  <Paragraphs>2</Paragraphs>
  <TotalTime>0</TotalTime>
  <ScaleCrop>false</ScaleCrop>
  <LinksUpToDate>false</LinksUpToDate>
  <CharactersWithSpaces>1409</CharactersWithSpaces>
  <Application>WPS Office_10.1.0.6026_F1E327BC-269C-435d-A152-05C5408002CA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2019-11-11T07:45:00Z</dcterms:created>
  <dc:creator>Lenovo</dc:creator>
  <cp:lastModifiedBy>谭忠东</cp:lastModifiedBy>
  <dcterms:modified xsi:type="dcterms:W3CDTF">2019-11-12T03:57:50Z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2052-10.1.0.6026</vt:lpwstr>
  </property>
</Properties>
</file>