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line="560" w:lineRule="exact"/>
        <w:jc w:val="left"/>
        <w:outlineLvl w:val="0"/>
        <w:rPr>
          <w:rFonts w:ascii="黑体" w:hAnsi="黑体" w:eastAsia="黑体" w:cs="黑体"/>
          <w:bCs/>
          <w:sz w:val="28"/>
          <w:szCs w:val="28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ind w:firstLine="1320" w:firstLineChars="300"/>
        <w:jc w:val="both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2023年第一季度</w:t>
      </w:r>
      <w:r>
        <w:rPr>
          <w:rFonts w:hint="eastAsia" w:ascii="黑体" w:hAnsi="黑体" w:eastAsia="黑体" w:cs="黑体"/>
          <w:sz w:val="44"/>
          <w:szCs w:val="44"/>
        </w:rPr>
        <w:t>标后评估报告</w:t>
      </w:r>
    </w:p>
    <w:p>
      <w:pPr>
        <w:ind w:firstLine="3080" w:firstLineChars="700"/>
        <w:rPr>
          <w:rFonts w:ascii="黑体" w:hAnsi="黑体" w:eastAsia="黑体" w:cs="黑体"/>
          <w:sz w:val="44"/>
          <w:szCs w:val="44"/>
        </w:rPr>
      </w:pPr>
    </w:p>
    <w:p>
      <w:pPr>
        <w:ind w:firstLine="3080" w:firstLineChars="700"/>
        <w:rPr>
          <w:rFonts w:ascii="黑体" w:hAnsi="黑体" w:eastAsia="黑体" w:cs="黑体"/>
          <w:sz w:val="44"/>
          <w:szCs w:val="44"/>
        </w:rPr>
      </w:pPr>
    </w:p>
    <w:p>
      <w:pPr>
        <w:ind w:firstLine="3080" w:firstLineChars="700"/>
        <w:rPr>
          <w:rFonts w:ascii="黑体" w:hAnsi="黑体" w:eastAsia="黑体" w:cs="黑体"/>
          <w:sz w:val="44"/>
          <w:szCs w:val="44"/>
        </w:rPr>
      </w:pPr>
    </w:p>
    <w:p>
      <w:pPr>
        <w:ind w:firstLine="3080" w:firstLineChars="700"/>
        <w:rPr>
          <w:rFonts w:ascii="黑体" w:hAnsi="黑体" w:eastAsia="黑体" w:cs="黑体"/>
          <w:sz w:val="44"/>
          <w:szCs w:val="44"/>
        </w:rPr>
      </w:pPr>
    </w:p>
    <w:p>
      <w:pPr>
        <w:ind w:firstLine="3080" w:firstLineChars="700"/>
        <w:rPr>
          <w:rFonts w:ascii="黑体" w:hAnsi="黑体" w:eastAsia="黑体" w:cs="黑体"/>
          <w:sz w:val="44"/>
          <w:szCs w:val="44"/>
        </w:rPr>
      </w:pPr>
    </w:p>
    <w:p>
      <w:pPr>
        <w:ind w:firstLine="3080" w:firstLineChars="700"/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ind w:firstLine="3080" w:firstLineChars="700"/>
        <w:rPr>
          <w:rFonts w:ascii="黑体" w:hAnsi="黑体" w:eastAsia="黑体" w:cs="黑体"/>
          <w:sz w:val="44"/>
          <w:szCs w:val="44"/>
        </w:rPr>
      </w:pPr>
    </w:p>
    <w:p>
      <w:pPr>
        <w:ind w:firstLine="3080" w:firstLineChars="700"/>
        <w:rPr>
          <w:rFonts w:ascii="黑体" w:hAnsi="黑体" w:eastAsia="黑体" w:cs="黑体"/>
          <w:sz w:val="44"/>
          <w:szCs w:val="44"/>
        </w:rPr>
      </w:pPr>
    </w:p>
    <w:p>
      <w:pPr>
        <w:ind w:firstLine="3080" w:firstLineChars="700"/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>编制单位：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  <w:u w:val="single"/>
          <w:lang w:eastAsia="zh-CN"/>
        </w:rPr>
        <w:t>松北区建设工程服务中心招标科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</w:t>
      </w:r>
    </w:p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     </w:t>
      </w:r>
      <w:r>
        <w:rPr>
          <w:rFonts w:hint="eastAsia" w:ascii="黑体" w:hAnsi="黑体" w:eastAsia="黑体" w:cs="黑体"/>
          <w:sz w:val="36"/>
          <w:szCs w:val="36"/>
        </w:rPr>
        <w:t xml:space="preserve">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>2023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 5   </w:t>
      </w:r>
      <w:r>
        <w:rPr>
          <w:rFonts w:hint="eastAsia" w:ascii="黑体" w:hAnsi="黑体" w:eastAsia="黑体" w:cs="黑体"/>
          <w:sz w:val="36"/>
          <w:szCs w:val="36"/>
        </w:rPr>
        <w:t>月</w:t>
      </w:r>
    </w:p>
    <w:p>
      <w:pPr>
        <w:rPr>
          <w:rFonts w:hint="eastAsia" w:ascii="黑体" w:hAnsi="黑体" w:eastAsia="黑体" w:cs="黑体"/>
          <w:sz w:val="36"/>
          <w:szCs w:val="36"/>
        </w:rPr>
      </w:pPr>
    </w:p>
    <w:p>
      <w:pPr>
        <w:rPr>
          <w:rFonts w:hint="eastAsia" w:ascii="黑体" w:hAnsi="黑体" w:eastAsia="黑体" w:cs="黑体"/>
          <w:sz w:val="36"/>
          <w:szCs w:val="36"/>
        </w:rPr>
      </w:pP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一、概况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评估项目的筛选标准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评估项目数量及类型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年第一季度松北区评定分离项目中标备案11项，5家招标代理机构，因项目总数较少，从项目类型、招标人、代理机构全覆盖的综合考量，选取6个评估项目，选取比例为总项目数量的54.55%，其中施工项目3项，监理项目1项，全过程咨询1项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评估依据及目的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依据《哈尔滨新区江北一体发展区建设工程招标投标后评估工作指引》评估标准进行综合打分，评估结果将纳入哈尔滨新区江北一体发展区建设领域信用体系，同时作为新区制定招投标政策的重要参考依据。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评估工作开展流程</w:t>
      </w:r>
    </w:p>
    <w:p>
      <w:pPr>
        <w:numPr>
          <w:ilvl w:val="0"/>
          <w:numId w:val="0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（1）组建标后评估委员会：松北区建设工程服务中心招标科4人，选择个人作风正派、品德端正，单位信誉良好的技术服务人员2人，每个评估项目评估组成员为5人。</w:t>
      </w:r>
    </w:p>
    <w:p>
      <w:pPr>
        <w:numPr>
          <w:ilvl w:val="0"/>
          <w:numId w:val="0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（2）评估工作启动会：5月12日在建设工程服务中心504会议室召开2023年第一季度建设工程招投标项目“标后评估”工作启动会，参会人员为招标科全体人员和技术服务人员2人。</w:t>
      </w:r>
    </w:p>
    <w:p>
      <w:pPr>
        <w:numPr>
          <w:ilvl w:val="0"/>
          <w:numId w:val="0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（3）标后评估工作：5月15日至5月30日</w:t>
      </w:r>
    </w:p>
    <w:p>
      <w:pPr>
        <w:numPr>
          <w:ilvl w:val="0"/>
          <w:numId w:val="0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（4）上报评估报告：6月10日</w:t>
      </w:r>
    </w:p>
    <w:p>
      <w:pPr>
        <w:numPr>
          <w:ilvl w:val="0"/>
          <w:numId w:val="0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（5）对外公示评估结果：6月15日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二、评估内容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1.通过收集资料，依据《哈尔滨新区江北一体发展区建设工程招标投标后评估工作指引》确定的评估</w:t>
      </w:r>
      <w:r>
        <w:rPr>
          <w:rFonts w:hint="eastAsia" w:ascii="仿宋_GB2312" w:hAnsi="仿宋_GB2312" w:eastAsia="仿宋_GB2312" w:cs="仿宋_GB2312"/>
          <w:sz w:val="28"/>
          <w:szCs w:val="28"/>
        </w:rPr>
        <w:t>标准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、招投标情况报告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招标文件、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投标文件、开评标过程相关资料、清标资料、定标资料以及与中标人签订的合同、电子备案光盘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等相关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资料，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按评分表进行综合量化打分。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2.根据评估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得分和评估中发现的问题</w:t>
      </w:r>
      <w:r>
        <w:rPr>
          <w:rFonts w:hint="eastAsia" w:ascii="仿宋_GB2312" w:hAnsi="仿宋_GB2312" w:eastAsia="仿宋_GB2312" w:cs="仿宋_GB2312"/>
          <w:sz w:val="28"/>
          <w:szCs w:val="28"/>
        </w:rPr>
        <w:t>进行汇总分析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三、评估结论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1.总体评估结论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本次评估的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个项目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综合得分N值均在75≤N＜90分之间，评估结果均为良好（详见下表）；</w:t>
      </w:r>
    </w:p>
    <w:tbl>
      <w:tblPr>
        <w:tblStyle w:val="3"/>
        <w:tblW w:w="82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2875"/>
        <w:gridCol w:w="643"/>
        <w:gridCol w:w="688"/>
        <w:gridCol w:w="658"/>
        <w:gridCol w:w="673"/>
        <w:gridCol w:w="643"/>
        <w:gridCol w:w="693"/>
        <w:gridCol w:w="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评估工作组成员分值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平均分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评估结果（优秀、良好、合格、不合格）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韩玉秀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陈秀华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林红艳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技术服务人员1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技术服务人员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哈尔滨新区松北片区既有小区二次供水设施改造工程项目（三期）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10KV哈行干1#—哈行线哈行干51#线路改造工程监理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哈尔滨新区健康食品产业园项目全过程咨询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黑龙江省哈尔滨市松北区城市燃气管道老化等更新改造项目施工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黑龙江省哈尔滨新区科创产业带基础设施建设示范项目—中俄产业园公园和停车场项目施工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244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评估工作组成员分值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平均分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评估结果（优秀、良好、合格、不合格）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韩玉秀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林红艳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技术服务人员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（2022-2023）年度松北区排水设施应急抢修施工 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（二）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本次评估的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个项目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招标投标活动公开、公平、公正、招标结果合理，基本遵照《中华人民共和国招标投标法》、《中华人民共和国招标投标法实施条例》、《哈尔滨新区江北一体发展区政府投资建设工程招标投标“评定分离”改革的若干规定（试行）》、《哈尔滨新区江北一体发展区建设工程招标投标后评估工作指引》要求。但仍存在一些问题：评标过程中，评标委员会技术标评审要素汇总到组长处时未统一意见，导致评标报告优缺点矛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；清标环节对企业类似业绩复核时部分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业绩不符合招标文件关于业绩的相关要求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；定标环节定标理由未完全体现竞价与择优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；部分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项目招标人未按《哈尔滨新区江北一体发展区政府投资建设工程招标投标“评定分离”改革的若干规定（试行）》规定时间进行定标和招投标情况报告备案（详见下表）；</w:t>
      </w:r>
    </w:p>
    <w:p>
      <w:pPr>
        <w:widowControl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widowControl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3772"/>
        <w:gridCol w:w="4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4" w:hRule="atLeast"/>
        </w:trPr>
        <w:tc>
          <w:tcPr>
            <w:tcW w:w="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7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0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7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哈尔滨新区松北片区既有小区二次供水设施改造工程项目（三期）</w:t>
            </w:r>
          </w:p>
        </w:tc>
        <w:tc>
          <w:tcPr>
            <w:tcW w:w="40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1.评标报告评标委员会优缺点未统一意见；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2.定标环节有的定标理由未全面体现竞价与择优；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3.未在文件规定时间内进行招投标情况报告备案。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7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（2022-2023）年度松北区排水设施应急抢修施工 </w:t>
            </w:r>
          </w:p>
        </w:tc>
        <w:tc>
          <w:tcPr>
            <w:tcW w:w="40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1.清标环节对企业类似业绩复核不严格；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2.定标环节有的定标理由未全面体现竞价与择优；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3.未在文件规定时间内进行招投标情况报告备案。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7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10KV哈行干1#—哈行线哈行干51#线路改造工程监理</w:t>
            </w:r>
          </w:p>
        </w:tc>
        <w:tc>
          <w:tcPr>
            <w:tcW w:w="40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1.定标环节有的定标理由未全面体现竞价与择优；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2.未按文件规定时限进行定标；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3.未在文件规定时间内进行招投标情况报告备案。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7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哈尔滨新区健康食品产业园项目全过程咨询</w:t>
            </w:r>
          </w:p>
        </w:tc>
        <w:tc>
          <w:tcPr>
            <w:tcW w:w="40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1.评标报告评标委员会优缺点未统一意见；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2.定标环节有的定标理由未全面体现竞价与择优；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3.未在文件规定时间内进行招投标情况报告备案。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7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黑龙江省哈尔滨市松北区城市燃气管道老化等更新改造项目施工</w:t>
            </w:r>
          </w:p>
        </w:tc>
        <w:tc>
          <w:tcPr>
            <w:tcW w:w="40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评标报告评标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委员会个别</w:t>
            </w: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优缺点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矛盾</w:t>
            </w: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7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黑龙江省哈尔滨新区科创产业带基础设施建设示范项目—中俄产业园公园和停车场项目施工</w:t>
            </w:r>
          </w:p>
        </w:tc>
        <w:tc>
          <w:tcPr>
            <w:tcW w:w="40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1.招标文件中择优要素描述前后不一致；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2.评标报告评标委员会未注明资格审查不合格原因；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3.定标环节有的定标理由未全面体现竞价与择优；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4.未在文件规定时间内进行招投标情况报告备案</w:t>
            </w: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</w:tr>
    </w:tbl>
    <w:p>
      <w:pPr>
        <w:widowControl/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2.原因分析</w:t>
      </w:r>
    </w:p>
    <w:p>
      <w:pPr>
        <w:widowControl/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针对项目标后评估中发现的问题，分析产生的原因有：招标人编制招标文件不细致、存在瑕疵；招标人未督促评标委员会严格落实《哈尔滨新区建设工程定性评审评标工作指引》统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一评标意见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；清标过程中，未严格按照招标文件关于业绩相关要求对类似业绩进行认定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；定标环节，对定标专家定标理由应全面体现竞价与择优未及时提醒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；因2022年底疫情原因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，招标人或招标代理机构招投标情况报告未及时提交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numPr>
          <w:ilvl w:val="0"/>
          <w:numId w:val="2"/>
        </w:numPr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改进措施及合理化建议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通过原因分析，提出如下</w:t>
      </w:r>
      <w:r>
        <w:rPr>
          <w:rFonts w:hint="eastAsia" w:ascii="仿宋_GB2312" w:hAnsi="仿宋_GB2312" w:eastAsia="仿宋_GB2312" w:cs="仿宋_GB2312"/>
          <w:sz w:val="28"/>
          <w:szCs w:val="28"/>
        </w:rPr>
        <w:t>改进措施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28"/>
          <w:szCs w:val="28"/>
        </w:rPr>
        <w:t>建议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widowControl/>
        <w:numPr>
          <w:ilvl w:val="0"/>
          <w:numId w:val="0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1.规范编制招标文件。招标人可依据哈尔滨新区评定分离招标文件范本编制项目招标文件。需要补充、修改的内容统一标注，关键内容变更时及时澄清，主动修改。</w:t>
      </w:r>
    </w:p>
    <w:p>
      <w:pPr>
        <w:widowControl/>
        <w:numPr>
          <w:ilvl w:val="0"/>
          <w:numId w:val="0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加强评标委员会评标管理。招标人需重视评标工作，评标前提示评标委员会严格按照《哈尔滨新区建设工程定性评审评标工作指引》执行，评标过程中要求评标委员会对定性评审要素提出明确、专业的意见，汇总时要意见统一，评标报告要经招标人审阅后提交，避免出现矛盾性意见。</w:t>
      </w:r>
    </w:p>
    <w:p>
      <w:pPr>
        <w:widowControl/>
        <w:numPr>
          <w:ilvl w:val="0"/>
          <w:numId w:val="0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3.招标人要加强清标及定标工作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招标人应当按照《哈尔滨新区江北一体发展区政府投资建设工程招标投标“评定分离”改革的若干规定》要求，将招标方案报招标人内设的纪检机构，清标时严格按照若干规定和招标文件要求全面、细致严谨的完成相关工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，按时定标、定标理由要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客观全面，在规定时限内进行招投标情况报告。</w:t>
      </w:r>
    </w:p>
    <w:p>
      <w:pPr>
        <w:widowControl/>
        <w:numPr>
          <w:ilvl w:val="0"/>
          <w:numId w:val="0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4.进一步完善标后评估标准分值。通过此次评估，为进一步优化营商环境、客观评价评定分离项目，在接下来的标后评估工作中适当调整，增加减免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投标保证金及履约保证金、远程异地评标等加分项。</w:t>
      </w:r>
    </w:p>
    <w:p>
      <w:pPr>
        <w:tabs>
          <w:tab w:val="left" w:pos="12814"/>
        </w:tabs>
        <w:jc w:val="left"/>
        <w:rPr>
          <w:rFonts w:ascii="宋体" w:hAnsi="宋体" w:cs="宋体"/>
          <w:b/>
          <w:bCs/>
          <w:color w:val="000000"/>
          <w:sz w:val="32"/>
          <w:szCs w:val="32"/>
        </w:rPr>
      </w:pPr>
      <w:bookmarkStart w:id="2" w:name="_GoBack"/>
      <w:bookmarkEnd w:id="2"/>
      <w:r>
        <w:rPr>
          <w:rFonts w:hint="eastAsia"/>
        </w:rPr>
        <w:tab/>
      </w:r>
    </w:p>
    <w:p/>
    <w:p/>
    <w:p/>
    <w:p/>
    <w:p/>
    <w:p/>
    <w:p/>
    <w:p/>
    <w:p/>
    <w:p/>
    <w:p/>
    <w:p/>
    <w:p/>
    <w:p/>
    <w:p>
      <w:pPr>
        <w:pBdr>
          <w:top w:val="single" w:color="auto" w:sz="4" w:space="0"/>
          <w:bottom w:val="single" w:color="auto" w:sz="4" w:space="0"/>
        </w:pBdr>
        <w:snapToGrid w:val="0"/>
      </w:pPr>
      <w:bookmarkStart w:id="0" w:name="OLE_LINK1"/>
      <w:bookmarkStart w:id="1" w:name="OLE_LINK2"/>
      <w:r>
        <w:rPr>
          <w:rFonts w:hint="eastAsia" w:ascii="仿宋_GB2312" w:eastAsia="仿宋_GB2312"/>
          <w:sz w:val="28"/>
          <w:szCs w:val="28"/>
        </w:rPr>
        <w:t>哈尔滨新区管理委员会住房和城乡建设局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日印发</w:t>
      </w:r>
      <w:bookmarkEnd w:id="0"/>
      <w:bookmarkEnd w:id="1"/>
    </w:p>
    <w:sectPr>
      <w:pgSz w:w="11906" w:h="16838"/>
      <w:pgMar w:top="2041" w:right="1531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2085"/>
    <w:multiLevelType w:val="singleLevel"/>
    <w:tmpl w:val="646B2085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647D4D99"/>
    <w:multiLevelType w:val="singleLevel"/>
    <w:tmpl w:val="647D4D99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NzAzNzdkNDk0MjZjOWQ0NmVmOTQ2YTQ4YzY3NzgifQ=="/>
  </w:docVars>
  <w:rsids>
    <w:rsidRoot w:val="00000000"/>
    <w:rsid w:val="010E72CB"/>
    <w:rsid w:val="03B77229"/>
    <w:rsid w:val="078B1877"/>
    <w:rsid w:val="0D470D32"/>
    <w:rsid w:val="0E064F10"/>
    <w:rsid w:val="0F29147D"/>
    <w:rsid w:val="0FFE566D"/>
    <w:rsid w:val="103378FA"/>
    <w:rsid w:val="12310C4E"/>
    <w:rsid w:val="156206A5"/>
    <w:rsid w:val="16915513"/>
    <w:rsid w:val="16DC4903"/>
    <w:rsid w:val="17814E1C"/>
    <w:rsid w:val="18355BC4"/>
    <w:rsid w:val="1B2D36A3"/>
    <w:rsid w:val="1C5245B8"/>
    <w:rsid w:val="1E274306"/>
    <w:rsid w:val="1FE92ED6"/>
    <w:rsid w:val="207E5ADF"/>
    <w:rsid w:val="210F4B34"/>
    <w:rsid w:val="23715AB1"/>
    <w:rsid w:val="23CF38CC"/>
    <w:rsid w:val="281213CE"/>
    <w:rsid w:val="28D45C09"/>
    <w:rsid w:val="2A3732D1"/>
    <w:rsid w:val="2F971B7D"/>
    <w:rsid w:val="32EC251B"/>
    <w:rsid w:val="34902BCC"/>
    <w:rsid w:val="35497DFC"/>
    <w:rsid w:val="35635123"/>
    <w:rsid w:val="35684E2E"/>
    <w:rsid w:val="366E7A67"/>
    <w:rsid w:val="3762046C"/>
    <w:rsid w:val="3A332488"/>
    <w:rsid w:val="3B310326"/>
    <w:rsid w:val="3BAA45F3"/>
    <w:rsid w:val="3C1D21FA"/>
    <w:rsid w:val="3DF257B2"/>
    <w:rsid w:val="3E173C1C"/>
    <w:rsid w:val="3E71027E"/>
    <w:rsid w:val="3E8A33A6"/>
    <w:rsid w:val="3EAC2D22"/>
    <w:rsid w:val="3F1861C1"/>
    <w:rsid w:val="3FED6E93"/>
    <w:rsid w:val="42F609E7"/>
    <w:rsid w:val="43341B51"/>
    <w:rsid w:val="440875AB"/>
    <w:rsid w:val="48072039"/>
    <w:rsid w:val="48185B57"/>
    <w:rsid w:val="485E084A"/>
    <w:rsid w:val="48B25D55"/>
    <w:rsid w:val="4A884A6C"/>
    <w:rsid w:val="4EE53828"/>
    <w:rsid w:val="4F454F19"/>
    <w:rsid w:val="4FF66259"/>
    <w:rsid w:val="5090604B"/>
    <w:rsid w:val="526273B5"/>
    <w:rsid w:val="52841D3A"/>
    <w:rsid w:val="544D14DF"/>
    <w:rsid w:val="54C2149E"/>
    <w:rsid w:val="54DB45C6"/>
    <w:rsid w:val="590C0B28"/>
    <w:rsid w:val="5B122177"/>
    <w:rsid w:val="5B424EC5"/>
    <w:rsid w:val="5BAB5E55"/>
    <w:rsid w:val="5BED193E"/>
    <w:rsid w:val="5D7A5326"/>
    <w:rsid w:val="62142C74"/>
    <w:rsid w:val="66605802"/>
    <w:rsid w:val="677E3A5B"/>
    <w:rsid w:val="6B007E19"/>
    <w:rsid w:val="6D1260AC"/>
    <w:rsid w:val="70ED20D3"/>
    <w:rsid w:val="74F60AFA"/>
    <w:rsid w:val="76526C11"/>
    <w:rsid w:val="7826510D"/>
    <w:rsid w:val="782B0837"/>
    <w:rsid w:val="79E57808"/>
    <w:rsid w:val="7C086208"/>
    <w:rsid w:val="7C594D0E"/>
    <w:rsid w:val="7D0335CB"/>
    <w:rsid w:val="7F931F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2713</Words>
  <Characters>2968</Characters>
  <Lines>0</Lines>
  <Paragraphs>0</Paragraphs>
  <TotalTime>104</TotalTime>
  <ScaleCrop>false</ScaleCrop>
  <LinksUpToDate>false</LinksUpToDate>
  <CharactersWithSpaces>3042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2023-06-19T08:31:17Z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1AD2A9F3126A4ECA85B0813AB1DC1DD0_12</vt:lpwstr>
  </property>
</Properties>
</file>