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wordWrap/>
        <w:overflowPunct/>
        <w:topLinePunct w:val="0"/>
        <w:bidi w:val="0"/>
        <w:jc w:val="center"/>
        <w:rPr>
          <w:rStyle w:val="14"/>
          <w:rFonts w:hint="eastAsia" w:ascii="仿宋" w:hAnsi="仿宋" w:eastAsia="仿宋" w:cs="仿宋"/>
          <w:b/>
          <w:i w:val="0"/>
          <w:caps w:val="0"/>
          <w:spacing w:val="0"/>
          <w:w w:val="100"/>
          <w:kern w:val="2"/>
          <w:sz w:val="44"/>
          <w:szCs w:val="44"/>
          <w:highlight w:val="none"/>
          <w:lang w:val="en-US" w:eastAsia="zh-CN" w:bidi="ar-SA"/>
        </w:rPr>
      </w:pPr>
      <w:r>
        <w:rPr>
          <w:rStyle w:val="14"/>
          <w:rFonts w:hint="eastAsia" w:ascii="仿宋" w:hAnsi="仿宋" w:eastAsia="仿宋" w:cs="仿宋"/>
          <w:b/>
          <w:i w:val="0"/>
          <w:caps w:val="0"/>
          <w:spacing w:val="0"/>
          <w:w w:val="100"/>
          <w:kern w:val="2"/>
          <w:sz w:val="44"/>
          <w:szCs w:val="44"/>
          <w:highlight w:val="none"/>
          <w:lang w:val="en-US" w:eastAsia="zh-CN" w:bidi="ar-SA"/>
        </w:rPr>
        <w:t>2022年度哈尔滨新区产业引导基金</w:t>
      </w:r>
    </w:p>
    <w:p>
      <w:pPr>
        <w:pStyle w:val="10"/>
        <w:keepNext w:val="0"/>
        <w:keepLines w:val="0"/>
        <w:pageBreakBefore w:val="0"/>
        <w:widowControl w:val="0"/>
        <w:wordWrap/>
        <w:overflowPunct/>
        <w:topLinePunct w:val="0"/>
        <w:bidi w:val="0"/>
        <w:jc w:val="center"/>
        <w:rPr>
          <w:rStyle w:val="14"/>
          <w:rFonts w:hint="eastAsia" w:ascii="仿宋" w:hAnsi="仿宋" w:eastAsia="仿宋" w:cs="仿宋"/>
          <w:b/>
          <w:i w:val="0"/>
          <w:caps w:val="0"/>
          <w:spacing w:val="0"/>
          <w:w w:val="100"/>
          <w:kern w:val="2"/>
          <w:sz w:val="44"/>
          <w:szCs w:val="44"/>
          <w:highlight w:val="none"/>
          <w:lang w:val="en-US" w:eastAsia="zh-CN" w:bidi="ar-SA"/>
        </w:rPr>
      </w:pPr>
      <w:r>
        <w:rPr>
          <w:rStyle w:val="14"/>
          <w:rFonts w:hint="eastAsia" w:ascii="仿宋" w:hAnsi="仿宋" w:eastAsia="仿宋" w:cs="仿宋"/>
          <w:b/>
          <w:i w:val="0"/>
          <w:caps w:val="0"/>
          <w:spacing w:val="0"/>
          <w:w w:val="100"/>
          <w:kern w:val="2"/>
          <w:sz w:val="44"/>
          <w:szCs w:val="44"/>
          <w:highlight w:val="none"/>
          <w:lang w:val="en-US" w:eastAsia="zh-CN" w:bidi="ar-SA"/>
        </w:rPr>
        <w:t>绩效再评价报告</w:t>
      </w:r>
    </w:p>
    <w:p>
      <w:pPr>
        <w:pStyle w:val="10"/>
        <w:keepNext w:val="0"/>
        <w:keepLines w:val="0"/>
        <w:pageBreakBefore w:val="0"/>
        <w:widowControl w:val="0"/>
        <w:wordWrap/>
        <w:overflowPunct/>
        <w:topLinePunct w:val="0"/>
        <w:bidi w:val="0"/>
        <w:jc w:val="center"/>
        <w:rPr>
          <w:rStyle w:val="14"/>
          <w:rFonts w:hint="eastAsia" w:ascii="仿宋" w:hAnsi="仿宋" w:eastAsia="仿宋" w:cs="仿宋"/>
          <w:b/>
          <w:i w:val="0"/>
          <w:caps w:val="0"/>
          <w:spacing w:val="0"/>
          <w:w w:val="100"/>
          <w:kern w:val="2"/>
          <w:sz w:val="44"/>
          <w:szCs w:val="44"/>
          <w:highlight w:val="none"/>
          <w:lang w:val="en-US" w:eastAsia="zh-CN" w:bidi="ar-SA"/>
        </w:rPr>
      </w:pPr>
    </w:p>
    <w:p>
      <w:pPr>
        <w:keepNext w:val="0"/>
        <w:keepLines w:val="0"/>
        <w:pageBreakBefore w:val="0"/>
        <w:widowControl w:val="0"/>
        <w:wordWrap/>
        <w:overflowPunct/>
        <w:topLinePunct w:val="0"/>
        <w:bidi w:val="0"/>
        <w:snapToGrid/>
        <w:spacing w:before="0" w:beforeAutospacing="0" w:after="0" w:afterAutospacing="0" w:line="480" w:lineRule="auto"/>
        <w:jc w:val="right"/>
        <w:textAlignment w:val="baseline"/>
        <w:rPr>
          <w:rStyle w:val="14"/>
          <w:rFonts w:hint="eastAsia" w:ascii="仿宋" w:hAnsi="仿宋" w:eastAsia="仿宋" w:cs="仿宋"/>
          <w:b/>
          <w:i w:val="0"/>
          <w:caps w:val="0"/>
          <w:spacing w:val="0"/>
          <w:w w:val="100"/>
          <w:kern w:val="2"/>
          <w:sz w:val="21"/>
          <w:szCs w:val="21"/>
          <w:highlight w:val="none"/>
          <w:lang w:val="en-US" w:eastAsia="zh-CN" w:bidi="ar-SA"/>
        </w:rPr>
      </w:pPr>
      <w:r>
        <w:rPr>
          <w:rStyle w:val="14"/>
          <w:rFonts w:hint="eastAsia" w:ascii="仿宋" w:hAnsi="仿宋" w:eastAsia="仿宋" w:cs="仿宋"/>
          <w:b/>
          <w:i w:val="0"/>
          <w:caps w:val="0"/>
          <w:spacing w:val="0"/>
          <w:w w:val="100"/>
          <w:kern w:val="2"/>
          <w:sz w:val="28"/>
          <w:szCs w:val="28"/>
          <w:highlight w:val="none"/>
          <w:lang w:val="en-US" w:eastAsia="zh-CN" w:bidi="ar-SA"/>
        </w:rPr>
        <w:t xml:space="preserve">                                   </w:t>
      </w:r>
      <w:r>
        <w:rPr>
          <w:rStyle w:val="14"/>
          <w:rFonts w:hint="eastAsia" w:ascii="仿宋" w:hAnsi="仿宋" w:eastAsia="仿宋" w:cs="仿宋"/>
          <w:b/>
          <w:bCs/>
          <w:i w:val="0"/>
          <w:caps w:val="0"/>
          <w:spacing w:val="0"/>
          <w:w w:val="100"/>
          <w:kern w:val="2"/>
          <w:sz w:val="21"/>
          <w:szCs w:val="21"/>
          <w:highlight w:val="none"/>
          <w:lang w:val="en-US" w:eastAsia="zh-CN" w:bidi="ar-SA"/>
        </w:rPr>
        <w:t>黑至圣专审字【2023】第005号</w:t>
      </w:r>
    </w:p>
    <w:p>
      <w:pPr>
        <w:keepNext w:val="0"/>
        <w:keepLines w:val="0"/>
        <w:pageBreakBefore w:val="0"/>
        <w:widowControl w:val="0"/>
        <w:wordWrap/>
        <w:overflowPunct/>
        <w:topLinePunct w:val="0"/>
        <w:bidi w:val="0"/>
        <w:snapToGrid/>
        <w:spacing w:before="0" w:beforeAutospacing="0" w:after="0" w:afterAutospacing="0" w:line="480" w:lineRule="auto"/>
        <w:jc w:val="both"/>
        <w:textAlignment w:val="baseline"/>
        <w:rPr>
          <w:rStyle w:val="14"/>
          <w:rFonts w:hint="eastAsia" w:ascii="仿宋" w:hAnsi="仿宋" w:eastAsia="仿宋" w:cs="仿宋"/>
          <w:b/>
          <w:i w:val="0"/>
          <w:caps w:val="0"/>
          <w:spacing w:val="0"/>
          <w:w w:val="100"/>
          <w:kern w:val="2"/>
          <w:sz w:val="28"/>
          <w:szCs w:val="28"/>
          <w:highlight w:val="none"/>
          <w:lang w:val="en-US" w:eastAsia="zh-CN" w:bidi="ar-SA"/>
        </w:rPr>
      </w:pPr>
      <w:r>
        <w:rPr>
          <w:rStyle w:val="14"/>
          <w:rFonts w:hint="eastAsia" w:ascii="仿宋" w:hAnsi="仿宋" w:eastAsia="仿宋" w:cs="仿宋"/>
          <w:b/>
          <w:i w:val="0"/>
          <w:caps w:val="0"/>
          <w:spacing w:val="0"/>
          <w:w w:val="100"/>
          <w:kern w:val="2"/>
          <w:sz w:val="28"/>
          <w:szCs w:val="28"/>
          <w:highlight w:val="none"/>
          <w:lang w:val="en-US" w:eastAsia="zh-CN" w:bidi="ar-SA"/>
        </w:rPr>
        <w:t>哈尔滨市松北区财政和金融服务局：</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哈尔滨市人民政府办公厅关于印发哈尔滨市产业引导基金及哈尔滨新区产业引导基金设立方案的通知》（哈政办规〔2017〕42号）《哈尔滨新区（江北一体发展区）财政和金融服务局政府投资基金绩效评价管理办法（试行）》（哈松财发〔2022〕90号）相关要求，受贵局委托，黑龙江至圣会计师事务所有限责任公司对2022年度哈尔滨新区产业引导基金进行绩效再评价。我们遵循相关性原则、重要性原则、可比性原则、系统性原则和经济性原则，采用内控测试、资料审阅、网络调查法、比较分析法和实地调查法等基本评价方法实施真实、客观、公正、独立的再评价，采取定量指标与定性指标相结合，以定量为主、定性为辅的方式开展再评价工作。我们相信，我们获取的再评价证据是充分适当的，为发表再评价意见提供了基础。</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现将再评价结果汇报如下：</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0" w:name="_bookmark3"/>
      <w:bookmarkEnd w:id="0"/>
      <w:bookmarkStart w:id="1" w:name="_bookmark2"/>
      <w:bookmarkEnd w:id="1"/>
      <w:r>
        <w:rPr>
          <w:rFonts w:hint="eastAsia" w:ascii="仿宋" w:hAnsi="仿宋" w:eastAsia="仿宋" w:cs="仿宋"/>
          <w:b/>
          <w:bCs/>
          <w:sz w:val="28"/>
          <w:szCs w:val="28"/>
          <w:lang w:val="en-US" w:eastAsia="zh-CN"/>
        </w:rPr>
        <w:t>一、基本情况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(一)项目单位情况及项目概况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1、项目实施单位概况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2019年11月，原属哈尔滨市财政局经开公司管理和运作的产业引导基金三子基金业务划转到创投集团，由哈创投集团晟汇投资公司承接后续管理工作。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哈尔滨晟汇投资有限责任公司（简称：晟汇投资公司）隶属于哈尔滨创业投资集团有限公司，是哈创投集团全资子公司。公司成立于2012年3月6日，位于哈尔滨市松北区创新路1616号9号楼9-13层，法定代表人</w:t>
      </w:r>
      <w:r>
        <w:rPr>
          <w:rFonts w:hint="eastAsia" w:ascii="仿宋" w:hAnsi="仿宋" w:eastAsia="仿宋" w:cs="仿宋"/>
          <w:sz w:val="28"/>
          <w:szCs w:val="28"/>
          <w:highlight w:val="none"/>
          <w:lang w:val="en-US" w:eastAsia="zh-CN"/>
        </w:rPr>
        <w:t>：张健，</w:t>
      </w:r>
      <w:r>
        <w:rPr>
          <w:rFonts w:hint="eastAsia" w:ascii="仿宋" w:hAnsi="仿宋" w:eastAsia="仿宋" w:cs="仿宋"/>
          <w:sz w:val="28"/>
          <w:szCs w:val="28"/>
          <w:lang w:val="en-US" w:eastAsia="zh-CN"/>
        </w:rPr>
        <w:t>注册资本：3.19亿元人民币，经济类型：有限责任公司（非自然人投资或控股的法人独资），晟汇投资公司承接哈创投集团股权投资业务板块，主要业务包括引导基金运营管理、政府专项基金运营管理、股权投资、企业增值服务、创业投资管理服务等板块。</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晟汇投资公司下设投资一部、投资二部、综合部、财务部及风控部等，目前公司员工总数17人。</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2、项目整体概况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截至2022年末，晟汇投资公司负责的新区产业引导基金参股子基金3支，分别为科力北方基金、商纵秋歌基金与拾珍基金。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（1）科力北方基金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黑龙江科力北方投资企业（有限合伙）（以下简称：科力北方基金）于2018年2月8日正式成立，由哈尔滨科力创业投资管理有限公司作为基金管理机构。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基金规模：160,000.00万元；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资对象：主要投资于高端装备制造、智能制造、通用航空、机器人、现代交通设备制造、新一代信息技术等先进装备制造领域及其配套行业，《中国制造2025》鼓励发展的产业领域以及相关配套行业以及符合国家要求的高新技术领域；</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返投比例：投资于哈尔滨新区内的项目，所占用资金比例不低于基金可投资规模的60%；</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基金存续期：七年（包含：投资期6年、回收期1年）；</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出资人：国家科技风险开发事业中心：40,000.00万元；黑龙江科力天使创业投资有限公司：52,400.00万元；哈尔滨晟汇投资有限责任公司：40,000.00万元；哈尔滨科力君和创业投资企业（有限合伙）：20,000.00万元；哈尔滨经济技术开发区科力创业投资企业（有限合伙）：6,000.00万元；哈尔滨科力创业投资管理有限公司：1,600.00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（2）商纵秋歌基金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哈尔滨商纵秋歌投资企业（有限合伙）(以下简称：商纵秋歌基金）于2018年9月11日正式成立，由北京纵横天润投资管理有限公司作为基金管理机构。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基金规模：40,000.00万元；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投资对象：主要投资于绿色食品相关领域（包含但不限于：绿色食品及相关产品的商品贸易流通、分销渠道及零售终端建设、物流仓储供应链服务、信息技术服务、金融产品服务等领域及相关配套行业）；</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返投比例：投资于哈尔滨新区行政区域内，符合投资领域企业的资金比例原则上不低于基金可投资规模的60%；</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基金存续期：七年（包含：投资期3年、回收期4年）；</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基金出资人：北京云商汇金投资管理有限公司：20,000.00万元；哈尔滨晟汇投资有限责任公司：10,000.00万元；尚道至和（北京）科技集团有限公司：9,600.00万元；北京纵横天润投资管理有限公司：400.00万元。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（3）拾珍基金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哈尔滨拾珍生物医药投资中心（有限合伙）（以下简称：拾珍基金）于2019年12月23日正式成立，由北京珍鑫投资管理有限公司作为基金管理机构。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基金规模：50,000.00万元；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投资对象：主要投资于医药健康相关领域；</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返投比例：合伙企业优先投资哈尔滨新区内的企业，若投资哈尔滨新区外企业的，合伙企业应保证投资于哈尔滨新区内企业的金额不低于晟汇投资当期出资的2倍；</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基金存续期：五年（包含：投资期3年、回收期2年）；</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基金出资人：黑龙江珍宝岛药业股份有限公司：34,500.00万元；哈尔滨晟汇投资有限责任公司：15,000.00万元；北京珍鑫投资管理有限公司：500.00万元。</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（二）资金来源及对外投资情况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1、资金来源情况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截至2022年末，新区产业引导基金已累计与社会资本合作设立子基金3支，基金总规模250.000.00万元，其中：新区引导基金认缴出资65,000.00万元，实缴出资47,500.00万元，社会资本认缴185,000.00万元，实缴139,500.00万元。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（1）科力北方基金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力北方基金设立于2018年2月，基金认缴出资规模为160,000.00万元，已实缴出资到位160,000.00万元，其中：黑龙江科力天使创业投资有限公司实缴出资52,400.00万元，占比32.75%；国家科技风险开发事业中心实缴出资40,000.00万元，占比25%；哈尔滨晟汇投资有限责任公司实缴出资40,000.00万元，占比25%；哈尔滨科力君和创业投资企业（有限合伙）实缴出资20,000.00万元，占比12.5%；哈尔滨经济技术开发区科力创业投资企业（有限合伙）实缴出资6,000.00万元，占比3.75%；哈尔滨科力创业投资管理有限公司实缴出资1,600.00万元，占比1%。</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（2）商纵秋歌基金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商纵秋歌基金设立于2018年9月，基金认缴出资规模为40,000.00万元，已实缴出资到位12,000.00万元，其中：北京云商汇金投资管理有限公司实缴出资6,000.00万元，占比50%；哈尔滨经济开发投资公司实缴出资3,000.00万元，占比25%；尚道至和（北京）科技集团有限公司实缴出资2,880.00万元，占比24%；北京纵横天润投资管理有限公司实缴出资120.00万元，占比1%。</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（3）拾珍基金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拾珍基金设立于2019年12月，基金认缴出资规模为50,000.00万元，已实缴出资到位15,000.00万元，其中：黑龙江珍宝岛药业股份有限公司实缴出资10,350.00万元，占比69%；哈尔滨晟汇投资有限责任公司实缴出资4,500.00万元，占比30%；北京珍鑫私募基金管理有限公司（曾用名：亳州市谯城区珍鑫投资管理有限公司）实缴出资150.00万元，占比1%。</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2、对外投资情况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至2022年末，新区产业引导基金的3支落地子基金共投资项目17个，投资总额84,624.92万元，占基金可投资规模45.25%，其中：科力北方基金投资项目10个，投资总额67,773.92万元（未扣退出资金），占基金可投资规模42.36%；商纵秋歌基金投资项目5个，投资总额11,351万元，占基金可投资规模94.59%；拾珍基金抽投项目2个，投资总额5,500.00万元，占基金可投资规模36.67%。</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（1）科力北方基金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napToGrid w:val="0"/>
          <w:color w:val="auto"/>
          <w:spacing w:val="7"/>
          <w:kern w:val="0"/>
          <w:sz w:val="29"/>
          <w:szCs w:val="29"/>
          <w:highlight w:val="none"/>
          <w:lang w:val="en-US" w:eastAsia="zh-CN"/>
        </w:rPr>
      </w:pPr>
      <w:r>
        <w:rPr>
          <w:rFonts w:hint="eastAsia" w:ascii="仿宋" w:hAnsi="仿宋" w:eastAsia="仿宋" w:cs="仿宋"/>
          <w:sz w:val="28"/>
          <w:szCs w:val="28"/>
          <w:lang w:val="en-US" w:eastAsia="zh-CN"/>
        </w:rPr>
        <w:t>截至2022年末，科力北方基金对外投资项目共计10个，投资总额67,773.92万元，其中：对哈尔滨腾迈通用航空科技有限公司投资3,170.00万元，占比4.68%；对哈尔滨新光光电科技有限公司投资11,970.00万元，占比17.66%；对哈尔滨天愈康复医疗机器人有限公司投资2,000.00万元，占比2.95%；对哈尔滨海特卫星技术有限公司投资900.00万元，占比1.33%；对哈尔滨安天科技集团股份有限公司投资27,000.59万元，占比39.84%；对哈尔滨科能熔敷科技有限公司投资8,000.00万元，占比11.80%；对宁波聚嘉新材料科技有限公司投资5,900.00万元，占比8.71%；对北京凌空天行科技有限责任公司投资3,833.33万元，占比5.66%；对哈尔滨工大卫星技术有限公司投资2,000.00万元，占比2.95%；对北京友友天宇系统技术有限公司投资3,000.00万元，占比4.43%。</w:t>
      </w:r>
      <w:r>
        <w:rPr>
          <w:rFonts w:hint="eastAsia" w:ascii="仿宋" w:hAnsi="仿宋" w:eastAsia="仿宋" w:cs="仿宋"/>
          <w:snapToGrid w:val="0"/>
          <w:color w:val="auto"/>
          <w:spacing w:val="7"/>
          <w:kern w:val="0"/>
          <w:sz w:val="29"/>
          <w:szCs w:val="29"/>
          <w:highlight w:val="none"/>
          <w:lang w:val="en-US" w:eastAsia="zh-CN"/>
        </w:rPr>
        <w:t xml:space="preserve">  </w:t>
      </w:r>
    </w:p>
    <w:p>
      <w:pPr>
        <w:keepNext w:val="0"/>
        <w:keepLines w:val="0"/>
        <w:pageBreakBefore w:val="0"/>
        <w:widowControl w:val="0"/>
        <w:wordWrap/>
        <w:overflowPunct/>
        <w:topLinePunct w:val="0"/>
        <w:bidi w:val="0"/>
        <w:spacing w:line="480" w:lineRule="auto"/>
        <w:ind w:firstLine="420" w:firstLineChars="200"/>
        <w:jc w:val="center"/>
        <w:textAlignment w:val="auto"/>
        <w:rPr>
          <w:rFonts w:hint="eastAsia" w:ascii="仿宋" w:hAnsi="仿宋" w:eastAsia="仿宋" w:cs="仿宋"/>
          <w:spacing w:val="7"/>
          <w:sz w:val="29"/>
          <w:szCs w:val="29"/>
          <w:highlight w:val="none"/>
          <w:lang w:val="en-US" w:eastAsia="zh-CN"/>
        </w:rPr>
      </w:pPr>
      <w:r>
        <w:rPr>
          <w:rFonts w:hint="eastAsia" w:ascii="仿宋" w:hAnsi="仿宋" w:eastAsia="仿宋" w:cs="仿宋"/>
          <w:i w:val="0"/>
          <w:iCs w:val="0"/>
          <w:snapToGrid w:val="0"/>
          <w:color w:val="000000"/>
          <w:kern w:val="0"/>
          <w:sz w:val="21"/>
          <w:szCs w:val="21"/>
          <w:highlight w:val="none"/>
          <w:u w:val="none"/>
          <w:lang w:val="en-US" w:eastAsia="zh-CN" w:bidi="ar"/>
        </w:rPr>
        <w:t xml:space="preserve">                                                                 单位：万元</w:t>
      </w:r>
    </w:p>
    <w:tbl>
      <w:tblPr>
        <w:tblStyle w:val="11"/>
        <w:tblW w:w="8458"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917"/>
        <w:gridCol w:w="1165"/>
        <w:gridCol w:w="1165"/>
        <w:gridCol w:w="1045"/>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3917"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被投资单位名称</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初始投资</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增加</w:t>
            </w:r>
          </w:p>
        </w:tc>
        <w:tc>
          <w:tcPr>
            <w:tcW w:w="104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减少</w:t>
            </w:r>
          </w:p>
        </w:tc>
        <w:tc>
          <w:tcPr>
            <w:tcW w:w="1166"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期末余额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哈尔滨腾迈通用航空科技有限公司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3,170.00</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3,170.00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哈尔滨新光光电科技有限公司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11,970.00</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11,970.00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哈尔滨天愈康复医疗机器人有限公司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2,000.00</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哈尔滨海特卫星技术有限公司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900.00 </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821.25</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78.75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哈尔滨安天科技集团股份有限公司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19,000.59</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8,000.00</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6</w:t>
            </w:r>
            <w:r>
              <w:rPr>
                <w:rFonts w:hint="eastAsia" w:ascii="仿宋" w:hAnsi="仿宋" w:eastAsia="仿宋" w:cs="仿宋"/>
                <w:i w:val="0"/>
                <w:iCs w:val="0"/>
                <w:snapToGrid w:val="0"/>
                <w:color w:val="000000"/>
                <w:kern w:val="0"/>
                <w:sz w:val="20"/>
                <w:szCs w:val="20"/>
                <w:u w:val="none"/>
                <w:lang w:val="en-US" w:eastAsia="zh-CN" w:bidi="ar"/>
              </w:rPr>
              <w:t>,</w:t>
            </w:r>
            <w:r>
              <w:rPr>
                <w:rFonts w:hint="eastAsia" w:ascii="仿宋" w:hAnsi="仿宋" w:eastAsia="仿宋" w:cs="仿宋"/>
                <w:i w:val="0"/>
                <w:iCs w:val="0"/>
                <w:snapToGrid w:val="0"/>
                <w:color w:val="000000"/>
                <w:kern w:val="0"/>
                <w:sz w:val="20"/>
                <w:szCs w:val="20"/>
                <w:highlight w:val="none"/>
                <w:u w:val="none"/>
                <w:lang w:val="en-US" w:eastAsia="zh-CN" w:bidi="ar"/>
              </w:rPr>
              <w:t>614.81</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20,385.78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Style w:val="30"/>
                <w:rFonts w:hint="eastAsia" w:ascii="仿宋" w:hAnsi="仿宋" w:eastAsia="仿宋" w:cs="仿宋"/>
                <w:snapToGrid w:val="0"/>
                <w:color w:val="000000"/>
                <w:highlight w:val="none"/>
                <w:lang w:val="en-US" w:eastAsia="zh-CN" w:bidi="ar"/>
              </w:rPr>
              <w:t>哈尔滨科能熔敷科技有限公司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8,000.00</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u w:val="none"/>
              </w:rPr>
            </w:pPr>
            <w:r>
              <w:rPr>
                <w:rStyle w:val="30"/>
                <w:rFonts w:hint="eastAsia" w:ascii="仿宋" w:hAnsi="仿宋" w:eastAsia="仿宋" w:cs="仿宋"/>
                <w:snapToGrid w:val="0"/>
                <w:color w:val="000000"/>
                <w:lang w:val="en-US" w:eastAsia="zh-CN" w:bidi="ar"/>
              </w:rPr>
              <w:t>宁波聚嘉新材料科技有限公司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5,900.00</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5,900.00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u w:val="none"/>
              </w:rPr>
            </w:pPr>
            <w:r>
              <w:rPr>
                <w:rStyle w:val="30"/>
                <w:rFonts w:hint="eastAsia" w:ascii="仿宋" w:hAnsi="仿宋" w:eastAsia="仿宋" w:cs="仿宋"/>
                <w:snapToGrid w:val="0"/>
                <w:color w:val="000000"/>
                <w:lang w:val="en-US" w:eastAsia="zh-CN" w:bidi="ar"/>
              </w:rPr>
              <w:t>北京凌空天行科技有限责任公司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3,833.33</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righ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3,833.33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u w:val="none"/>
              </w:rPr>
            </w:pPr>
            <w:r>
              <w:rPr>
                <w:rStyle w:val="30"/>
                <w:rFonts w:hint="eastAsia" w:ascii="仿宋" w:hAnsi="仿宋" w:eastAsia="仿宋" w:cs="仿宋"/>
                <w:snapToGrid w:val="0"/>
                <w:color w:val="000000"/>
                <w:lang w:val="en-US" w:eastAsia="zh-CN" w:bidi="ar"/>
              </w:rPr>
              <w:t>哈尔滨工大卫星技术有限公司</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2,000.00</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righ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u w:val="none"/>
              </w:rPr>
            </w:pPr>
            <w:r>
              <w:rPr>
                <w:rStyle w:val="30"/>
                <w:rFonts w:hint="eastAsia" w:ascii="仿宋" w:hAnsi="仿宋" w:eastAsia="仿宋" w:cs="仿宋"/>
                <w:snapToGrid w:val="0"/>
                <w:color w:val="000000"/>
                <w:lang w:val="en-US" w:eastAsia="zh-CN" w:bidi="ar"/>
              </w:rPr>
              <w:t>北京友友天宇系统技术有限公司</w:t>
            </w:r>
          </w:p>
        </w:tc>
        <w:tc>
          <w:tcPr>
            <w:tcW w:w="1165" w:type="dxa"/>
            <w:tcBorders>
              <w:tl2br w:val="nil"/>
              <w:tr2bl w:val="nil"/>
            </w:tcBorders>
            <w:shd w:val="clear" w:color="auto" w:fill="auto"/>
            <w:noWrap/>
            <w:vAlign w:val="center"/>
          </w:tcPr>
          <w:p>
            <w:pPr>
              <w:keepNext w:val="0"/>
              <w:keepLines w:val="0"/>
              <w:pageBreakBefore w:val="0"/>
              <w:widowControl w:val="0"/>
              <w:wordWrap/>
              <w:overflowPunct/>
              <w:topLinePunct w:val="0"/>
              <w:bidi w:val="0"/>
              <w:jc w:val="right"/>
              <w:rPr>
                <w:rFonts w:hint="eastAsia" w:ascii="仿宋" w:hAnsi="仿宋" w:eastAsia="仿宋" w:cs="仿宋"/>
                <w:i w:val="0"/>
                <w:iCs w:val="0"/>
                <w:color w:val="000000"/>
                <w:sz w:val="20"/>
                <w:szCs w:val="20"/>
                <w:u w:val="none"/>
              </w:rPr>
            </w:pP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3,000.00</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jc w:val="right"/>
              <w:rPr>
                <w:rFonts w:hint="eastAsia" w:ascii="仿宋" w:hAnsi="仿宋" w:eastAsia="仿宋" w:cs="仿宋"/>
                <w:i w:val="0"/>
                <w:iCs w:val="0"/>
                <w:color w:val="000000"/>
                <w:sz w:val="20"/>
                <w:szCs w:val="20"/>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0"/>
                <w:szCs w:val="20"/>
                <w:u w:val="none"/>
              </w:rPr>
            </w:pPr>
            <w:r>
              <w:rPr>
                <w:rStyle w:val="30"/>
                <w:rFonts w:hint="eastAsia" w:ascii="仿宋" w:hAnsi="仿宋" w:eastAsia="仿宋" w:cs="仿宋"/>
                <w:snapToGrid w:val="0"/>
                <w:color w:val="000000"/>
                <w:lang w:val="en-US" w:eastAsia="zh-CN" w:bidi="ar"/>
              </w:rPr>
              <w:t>合     计</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auto"/>
                <w:kern w:val="0"/>
                <w:sz w:val="20"/>
                <w:szCs w:val="20"/>
                <w:highlight w:val="none"/>
                <w:u w:val="none"/>
                <w:shd w:val="clear"/>
                <w:lang w:val="en-US" w:eastAsia="zh-CN" w:bidi="ar"/>
              </w:rPr>
              <w:t>56,773.92</w:t>
            </w:r>
          </w:p>
        </w:tc>
        <w:tc>
          <w:tcPr>
            <w:tcW w:w="1165"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11,000.00</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7,436.06</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snapToGrid w:val="0"/>
                <w:color w:val="000000"/>
                <w:kern w:val="0"/>
                <w:sz w:val="20"/>
                <w:szCs w:val="20"/>
                <w:u w:val="none"/>
                <w:lang w:val="en-US" w:eastAsia="zh-CN" w:bidi="ar"/>
              </w:rPr>
              <w:t>60,337.86</w:t>
            </w:r>
          </w:p>
        </w:tc>
      </w:tr>
    </w:tbl>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560" w:firstLineChars="200"/>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（2）商纵秋歌基金</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8"/>
        <w:jc w:val="left"/>
        <w:textAlignment w:val="baseline"/>
        <w:rPr>
          <w:rFonts w:hint="eastAsia" w:ascii="仿宋" w:hAnsi="仿宋" w:eastAsia="仿宋" w:cs="仿宋"/>
          <w:spacing w:val="7"/>
          <w:sz w:val="21"/>
          <w:szCs w:val="21"/>
          <w:highlight w:val="none"/>
          <w:lang w:val="en-US" w:eastAsia="zh-CN"/>
        </w:rPr>
      </w:pPr>
      <w:r>
        <w:rPr>
          <w:rFonts w:hint="eastAsia" w:ascii="仿宋" w:hAnsi="仿宋" w:eastAsia="仿宋" w:cs="仿宋"/>
          <w:kern w:val="2"/>
          <w:sz w:val="28"/>
          <w:szCs w:val="28"/>
          <w:lang w:val="en-US" w:eastAsia="zh-CN" w:bidi="ar-SA"/>
        </w:rPr>
        <w:t>截至2022年末，商纵秋歌基金对外投资项目共计5个，投资总额11,351.00万元，其中：对哈尔滨海云供应链管理有限公司投资2,204.00万元，占比19.42%；对哈尔滨尚铭企业管理有限公司投资2,207.00万元，占比19.44%；对哈尔滨惠贸仓储服务有限公司投资2,400.00万元，占比21.14%；对海南海粮供应链管理有限公司投资2,400.00万元，占比21.14%；对掌合天下（北京）信息技术有限公司投资2,140.00万元，占比18.85%。</w:t>
      </w:r>
      <w:r>
        <w:rPr>
          <w:rFonts w:hint="eastAsia" w:ascii="仿宋" w:hAnsi="仿宋" w:eastAsia="仿宋" w:cs="仿宋"/>
          <w:spacing w:val="7"/>
          <w:sz w:val="21"/>
          <w:szCs w:val="21"/>
          <w:highlight w:val="none"/>
          <w:lang w:val="en-US" w:eastAsia="zh-CN"/>
        </w:rPr>
        <w:t xml:space="preserve">    </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944" w:firstLineChars="3100"/>
        <w:jc w:val="left"/>
        <w:textAlignment w:val="baseline"/>
        <w:rPr>
          <w:rFonts w:hint="eastAsia" w:ascii="仿宋" w:hAnsi="仿宋" w:eastAsia="仿宋" w:cs="仿宋"/>
          <w:b w:val="0"/>
          <w:bCs w:val="0"/>
          <w:spacing w:val="7"/>
          <w:sz w:val="29"/>
          <w:szCs w:val="29"/>
          <w:highlight w:val="none"/>
          <w:lang w:val="en-US" w:eastAsia="zh-CN"/>
        </w:rPr>
      </w:pPr>
      <w:r>
        <w:rPr>
          <w:rFonts w:hint="eastAsia" w:ascii="仿宋" w:hAnsi="仿宋" w:eastAsia="仿宋" w:cs="仿宋"/>
          <w:spacing w:val="7"/>
          <w:sz w:val="21"/>
          <w:szCs w:val="21"/>
          <w:highlight w:val="none"/>
          <w:lang w:val="en-US" w:eastAsia="zh-CN"/>
        </w:rPr>
        <w:t xml:space="preserve"> </w:t>
      </w:r>
      <w:r>
        <w:rPr>
          <w:rFonts w:hint="eastAsia" w:ascii="仿宋" w:hAnsi="仿宋" w:eastAsia="仿宋" w:cs="仿宋"/>
          <w:i w:val="0"/>
          <w:iCs w:val="0"/>
          <w:snapToGrid w:val="0"/>
          <w:color w:val="000000"/>
          <w:kern w:val="0"/>
          <w:sz w:val="21"/>
          <w:szCs w:val="21"/>
          <w:highlight w:val="none"/>
          <w:u w:val="none"/>
          <w:lang w:val="en-US" w:eastAsia="zh-CN" w:bidi="ar"/>
        </w:rPr>
        <w:t>单位：万元</w:t>
      </w:r>
    </w:p>
    <w:tbl>
      <w:tblPr>
        <w:tblStyle w:val="11"/>
        <w:tblW w:w="8580"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660"/>
        <w:gridCol w:w="1284"/>
        <w:gridCol w:w="1200"/>
        <w:gridCol w:w="1116"/>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2" w:hRule="atLeast"/>
        </w:trPr>
        <w:tc>
          <w:tcPr>
            <w:tcW w:w="3660"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被投资单位名称</w:t>
            </w:r>
          </w:p>
        </w:tc>
        <w:tc>
          <w:tcPr>
            <w:tcW w:w="1284"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期初余额</w:t>
            </w:r>
          </w:p>
        </w:tc>
        <w:tc>
          <w:tcPr>
            <w:tcW w:w="1200"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本年增加</w:t>
            </w:r>
          </w:p>
        </w:tc>
        <w:tc>
          <w:tcPr>
            <w:tcW w:w="1116"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本年减少</w:t>
            </w:r>
          </w:p>
        </w:tc>
        <w:tc>
          <w:tcPr>
            <w:tcW w:w="1320"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期末余额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哈尔滨海云供应链管理有限公司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2,204.00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2,204.00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哈尔滨尚铭企业管理有限公司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2,207.00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2,207.00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哈尔滨惠贸仓储服务有限公司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2,400.00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2,400.00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海南海粮供应链管理有限公司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2,400.00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2,400.00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掌合天下（北京）信息技术有限公司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2,140.00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2,140.00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合     计</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 xml:space="preserve">11,351.00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b/>
                <w:bCs/>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b/>
                <w:bCs/>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 xml:space="preserve">11,351.00 </w:t>
            </w:r>
          </w:p>
        </w:tc>
      </w:tr>
    </w:tbl>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560" w:firstLineChars="200"/>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（3）拾珍基金</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8"/>
        <w:jc w:val="left"/>
        <w:textAlignment w:val="baseline"/>
        <w:rPr>
          <w:rFonts w:hint="eastAsia" w:ascii="仿宋" w:hAnsi="仿宋" w:eastAsia="仿宋" w:cs="仿宋"/>
          <w:spacing w:val="7"/>
          <w:sz w:val="29"/>
          <w:szCs w:val="29"/>
          <w:highlight w:val="none"/>
          <w:lang w:val="en-US" w:eastAsia="zh-CN"/>
        </w:rPr>
      </w:pPr>
      <w:r>
        <w:rPr>
          <w:rFonts w:hint="eastAsia" w:ascii="仿宋" w:hAnsi="仿宋" w:eastAsia="仿宋" w:cs="仿宋"/>
          <w:kern w:val="2"/>
          <w:sz w:val="28"/>
          <w:szCs w:val="28"/>
          <w:lang w:val="en-US" w:eastAsia="zh-CN" w:bidi="ar-SA"/>
        </w:rPr>
        <w:t>截至2022年末，拾珍基金对外投资项目共计2个，投资总额5,500.00万元，其中：对浙江特瑞思药业股份有限公司投资2,500.00万元，占比45.45%；对杭州爱科瑞思生物药业有限公司投资3,000.00万元，占比54.55%。</w:t>
      </w:r>
      <w:r>
        <w:rPr>
          <w:rFonts w:hint="eastAsia" w:ascii="仿宋" w:hAnsi="仿宋" w:eastAsia="仿宋" w:cs="仿宋"/>
          <w:spacing w:val="7"/>
          <w:sz w:val="29"/>
          <w:szCs w:val="29"/>
          <w:highlight w:val="none"/>
          <w:lang w:val="en-US" w:eastAsia="zh-CN"/>
        </w:rPr>
        <w:t xml:space="preserve">      </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40" w:firstLineChars="1987"/>
        <w:jc w:val="left"/>
        <w:textAlignment w:val="baseline"/>
        <w:rPr>
          <w:rFonts w:hint="eastAsia" w:ascii="仿宋" w:hAnsi="仿宋" w:eastAsia="仿宋" w:cs="仿宋"/>
          <w:spacing w:val="7"/>
          <w:sz w:val="29"/>
          <w:szCs w:val="29"/>
          <w:highlight w:val="none"/>
          <w:lang w:val="en-US" w:eastAsia="zh-CN"/>
        </w:rPr>
      </w:pPr>
      <w:r>
        <w:rPr>
          <w:rFonts w:hint="eastAsia" w:ascii="仿宋" w:hAnsi="仿宋" w:eastAsia="仿宋" w:cs="仿宋"/>
          <w:spacing w:val="7"/>
          <w:sz w:val="29"/>
          <w:szCs w:val="29"/>
          <w:highlight w:val="none"/>
          <w:lang w:val="en-US" w:eastAsia="zh-CN"/>
        </w:rPr>
        <w:t xml:space="preserve">       </w:t>
      </w:r>
      <w:r>
        <w:rPr>
          <w:rFonts w:hint="eastAsia" w:ascii="仿宋" w:hAnsi="仿宋" w:eastAsia="仿宋" w:cs="仿宋"/>
          <w:i w:val="0"/>
          <w:iCs w:val="0"/>
          <w:snapToGrid w:val="0"/>
          <w:color w:val="000000"/>
          <w:kern w:val="0"/>
          <w:sz w:val="21"/>
          <w:szCs w:val="21"/>
          <w:highlight w:val="none"/>
          <w:u w:val="none"/>
          <w:lang w:val="en-US" w:eastAsia="zh-CN" w:bidi="ar"/>
        </w:rPr>
        <w:t>单位：万元</w:t>
      </w:r>
    </w:p>
    <w:tbl>
      <w:tblPr>
        <w:tblStyle w:val="11"/>
        <w:tblW w:w="8580"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660"/>
        <w:gridCol w:w="1284"/>
        <w:gridCol w:w="1200"/>
        <w:gridCol w:w="1116"/>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4" w:hRule="atLeast"/>
        </w:trPr>
        <w:tc>
          <w:tcPr>
            <w:tcW w:w="3660"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被投资单位名称</w:t>
            </w:r>
          </w:p>
        </w:tc>
        <w:tc>
          <w:tcPr>
            <w:tcW w:w="1284"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期初余额</w:t>
            </w:r>
          </w:p>
        </w:tc>
        <w:tc>
          <w:tcPr>
            <w:tcW w:w="1200"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本年增加</w:t>
            </w:r>
          </w:p>
        </w:tc>
        <w:tc>
          <w:tcPr>
            <w:tcW w:w="1116"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本年减少</w:t>
            </w:r>
          </w:p>
        </w:tc>
        <w:tc>
          <w:tcPr>
            <w:tcW w:w="1320" w:type="dxa"/>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期末余额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浙江特瑞思药业股份有限公司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snapToGrid w:val="0"/>
                <w:color w:val="000000"/>
                <w:kern w:val="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2,500.00 </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 </w:t>
            </w: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2,500.00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杭州爱科瑞思生物医药有限公司</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snapToGrid w:val="0"/>
                <w:color w:val="000000"/>
                <w:kern w:val="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3,000.00 </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snapToGrid w:val="0"/>
                <w:color w:val="000000"/>
                <w:kern w:val="0"/>
                <w:sz w:val="20"/>
                <w:szCs w:val="20"/>
                <w:highlight w:val="none"/>
                <w:u w:val="none"/>
                <w:lang w:val="en-US" w:eastAsia="zh-CN" w:bidi="ar"/>
              </w:rPr>
              <w:t xml:space="preserve">3,000.00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合     计</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b/>
                <w:bCs/>
                <w:i w:val="0"/>
                <w:iCs w:val="0"/>
                <w:snapToGrid w:val="0"/>
                <w:color w:val="000000"/>
                <w:kern w:val="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 xml:space="preserve">5,500.00 </w:t>
            </w: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b/>
                <w:bCs/>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b/>
                <w:bCs/>
                <w:i w:val="0"/>
                <w:iCs w:val="0"/>
                <w:color w:val="000000"/>
                <w:sz w:val="20"/>
                <w:szCs w:val="20"/>
                <w:highlight w:val="none"/>
                <w:u w:val="none"/>
              </w:rPr>
            </w:pPr>
          </w:p>
        </w:tc>
        <w:tc>
          <w:tcPr>
            <w:tcW w:w="0" w:type="auto"/>
            <w:tcBorders>
              <w:tl2br w:val="nil"/>
              <w:tr2bl w:val="nil"/>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snapToGrid w:val="0"/>
                <w:color w:val="000000"/>
                <w:kern w:val="0"/>
                <w:sz w:val="20"/>
                <w:szCs w:val="20"/>
                <w:highlight w:val="none"/>
                <w:u w:val="none"/>
                <w:lang w:val="en-US" w:eastAsia="zh-CN" w:bidi="ar"/>
              </w:rPr>
              <w:t xml:space="preserve">5,500.00 </w:t>
            </w:r>
          </w:p>
        </w:tc>
      </w:tr>
    </w:tbl>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562" w:firstLineChars="200"/>
        <w:jc w:val="left"/>
        <w:textAlignment w:val="baseline"/>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（三）基金投资方向</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560" w:firstLineChars="200"/>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1、按投资地域划分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8"/>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截至2022年末，投资于哈尔滨新区项目共计10个，投资金额61,851.59万元，其中：科力北方基金7个，投资金额55,040.59万元，占基金可投资规模34.40%；商纵秋歌基金3个，投资金额6,811.00万元，占基金可投资规模56.76%；拾珍基金0个，投资金额0万元，占基金可投资规模0%；</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8"/>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投资于哈尔滨新区之外的项目共计7个，投资金额22,773.33万元其中：科力北方基金3个，投资金额12,733.33万元，占基金可投资规模7.96%；商纵秋歌基金2个，投资金额4,540.00万元，占基金可投资规模37.83%；拾珍基金2个，投资金额5,500.00万元，占基金可投资规模36.67%。</w:t>
      </w:r>
    </w:p>
    <w:tbl>
      <w:tblPr>
        <w:tblStyle w:val="11"/>
        <w:tblW w:w="84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8"/>
        <w:gridCol w:w="3468"/>
        <w:gridCol w:w="1026"/>
        <w:gridCol w:w="1368"/>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snapToGrid w:val="0"/>
                <w:color w:val="000000"/>
                <w:kern w:val="0"/>
                <w:sz w:val="18"/>
                <w:szCs w:val="18"/>
                <w:u w:val="none"/>
                <w:lang w:val="en-US" w:eastAsia="zh-CN" w:bidi="ar"/>
              </w:rPr>
              <w:t>基金</w:t>
            </w:r>
          </w:p>
        </w:tc>
        <w:tc>
          <w:tcPr>
            <w:tcW w:w="3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snapToGrid w:val="0"/>
                <w:color w:val="000000"/>
                <w:kern w:val="0"/>
                <w:sz w:val="18"/>
                <w:szCs w:val="18"/>
                <w:u w:val="none"/>
                <w:lang w:val="en-US" w:eastAsia="zh-CN" w:bidi="ar"/>
              </w:rPr>
              <w:t>被投资单位名称</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snapToGrid w:val="0"/>
                <w:color w:val="000000"/>
                <w:kern w:val="0"/>
                <w:sz w:val="18"/>
                <w:szCs w:val="18"/>
                <w:u w:val="none"/>
                <w:lang w:val="en-US" w:eastAsia="zh-CN" w:bidi="ar"/>
              </w:rPr>
              <w:t>投资金额</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snapToGrid w:val="0"/>
                <w:color w:val="000000"/>
                <w:kern w:val="0"/>
                <w:sz w:val="18"/>
                <w:szCs w:val="18"/>
                <w:u w:val="none"/>
                <w:lang w:val="en-US" w:eastAsia="zh-CN" w:bidi="ar"/>
              </w:rPr>
              <w:t>所属领域</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snapToGrid w:val="0"/>
                <w:color w:val="000000"/>
                <w:kern w:val="0"/>
                <w:sz w:val="18"/>
                <w:szCs w:val="18"/>
                <w:u w:val="none"/>
                <w:lang w:val="en-US" w:eastAsia="zh-CN" w:bidi="ar"/>
              </w:rPr>
              <w:t>投资地域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科力北方基金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哈尔滨腾迈通用航空科技有限公司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3,170.00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哈尔滨新光光电科技有限公司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11,970.00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哈尔滨天愈康复医疗机器人有限公司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哈尔滨海特卫星技术有限公司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snapToGrid w:val="0"/>
                <w:color w:val="000000"/>
                <w:kern w:val="0"/>
                <w:sz w:val="18"/>
                <w:szCs w:val="18"/>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哈尔滨安天科技集团股份有限公司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snapToGrid w:val="0"/>
                <w:color w:val="000000"/>
                <w:kern w:val="0"/>
                <w:sz w:val="18"/>
                <w:szCs w:val="18"/>
                <w:u w:val="none"/>
                <w:lang w:val="en-US" w:eastAsia="zh-CN" w:bidi="ar"/>
              </w:rPr>
              <w:t>27,000.59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哈尔滨科能熔敷科技有限公司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宁波聚嘉新材料科技有限公司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5,900.00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北京凌空天行科技有限责任公司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3,833.33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哈尔滨工大卫星技术有限公司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高端装备制造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center"/>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snapToGrid w:val="0"/>
                <w:color w:val="000000"/>
                <w:kern w:val="0"/>
                <w:sz w:val="18"/>
                <w:szCs w:val="18"/>
                <w:u w:val="none"/>
                <w:lang w:val="en-US" w:eastAsia="zh-CN" w:bidi="ar"/>
              </w:rPr>
              <w:t>北京友友天宇系统技术有限公司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snapToGrid w:val="0"/>
                <w:color w:val="000000"/>
                <w:kern w:val="0"/>
                <w:sz w:val="18"/>
                <w:szCs w:val="18"/>
                <w:u w:val="none"/>
                <w:lang w:val="en-US" w:eastAsia="zh-CN" w:bidi="ar"/>
              </w:rPr>
            </w:pPr>
            <w:r>
              <w:rPr>
                <w:rFonts w:hint="eastAsia" w:ascii="仿宋" w:hAnsi="仿宋" w:eastAsia="仿宋" w:cs="仿宋"/>
                <w:i w:val="0"/>
                <w:iCs w:val="0"/>
                <w:snapToGrid w:val="0"/>
                <w:color w:val="000000"/>
                <w:kern w:val="0"/>
                <w:sz w:val="18"/>
                <w:szCs w:val="18"/>
                <w:u w:val="none"/>
                <w:lang w:val="en-US" w:eastAsia="zh-CN" w:bidi="ar"/>
              </w:rPr>
              <w:t xml:space="preserve">3,000.00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000000"/>
                <w:kern w:val="0"/>
                <w:sz w:val="18"/>
                <w:szCs w:val="18"/>
                <w:u w:val="none"/>
                <w:lang w:val="en-US" w:eastAsia="zh-CN" w:bidi="ar"/>
              </w:rPr>
            </w:pPr>
            <w:r>
              <w:rPr>
                <w:rFonts w:hint="eastAsia" w:ascii="仿宋" w:hAnsi="仿宋" w:eastAsia="仿宋" w:cs="仿宋"/>
                <w:i w:val="0"/>
                <w:iCs w:val="0"/>
                <w:snapToGrid w:val="0"/>
                <w:color w:val="000000"/>
                <w:kern w:val="0"/>
                <w:sz w:val="18"/>
                <w:szCs w:val="18"/>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000000"/>
                <w:kern w:val="0"/>
                <w:sz w:val="18"/>
                <w:szCs w:val="18"/>
                <w:u w:val="none"/>
                <w:lang w:val="en-US" w:eastAsia="zh-CN" w:bidi="ar"/>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商纵秋歌基金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哈尔滨海云供应链管理有限公司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2,204.00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服务贸易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哈尔滨尚铭企业管理有限公司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2,207.00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服务贸易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哈尔滨惠贸仓储服务有限公司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服务贸易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哈尔滨新区内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海南海粮供应链管理有限公司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服务贸易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掌合天下（北京）信息技术有限公司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拾珍基金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浙江特瑞思药业股份有限公司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生物医药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jc w:val="left"/>
              <w:rPr>
                <w:rFonts w:hint="eastAsia" w:ascii="仿宋" w:hAnsi="仿宋" w:eastAsia="仿宋" w:cs="仿宋"/>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杭州爱科瑞思生物医药有限公司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生物医药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snapToGrid w:val="0"/>
                <w:color w:val="000000"/>
                <w:kern w:val="0"/>
                <w:sz w:val="18"/>
                <w:szCs w:val="18"/>
                <w:u w:val="none"/>
                <w:lang w:val="en-US" w:eastAsia="zh-CN" w:bidi="ar"/>
              </w:rPr>
              <w:t>新区外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snapToGrid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right"/>
              <w:textAlignment w:val="center"/>
              <w:rPr>
                <w:rFonts w:hint="eastAsia" w:ascii="仿宋" w:hAnsi="仿宋" w:eastAsia="仿宋" w:cs="仿宋"/>
                <w:b/>
                <w:bCs/>
                <w:i w:val="0"/>
                <w:iCs w:val="0"/>
                <w:snapToGrid w:val="0"/>
                <w:color w:val="000000"/>
                <w:kern w:val="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84,624.92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rPr>
                <w:rFonts w:hint="eastAsia" w:ascii="仿宋" w:hAnsi="仿宋" w:eastAsia="仿宋" w:cs="仿宋"/>
                <w:b/>
                <w:bCs/>
                <w:i w:val="0"/>
                <w:iCs w:val="0"/>
                <w:color w:val="000000"/>
                <w:sz w:val="22"/>
                <w:szCs w:val="22"/>
                <w:u w:val="none"/>
              </w:rPr>
            </w:pPr>
          </w:p>
        </w:tc>
      </w:tr>
    </w:tbl>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560" w:firstLineChars="200"/>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2、按投资行业划分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8"/>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截至2022年末，投资高端装备制造行业项目7个，投资金额</w:t>
      </w:r>
      <w:bookmarkStart w:id="2" w:name="OLE_LINK1"/>
      <w:r>
        <w:rPr>
          <w:rFonts w:hint="eastAsia" w:ascii="仿宋" w:hAnsi="仿宋" w:eastAsia="仿宋" w:cs="仿宋"/>
          <w:kern w:val="2"/>
          <w:sz w:val="28"/>
          <w:szCs w:val="28"/>
          <w:lang w:val="en-US" w:eastAsia="zh-CN" w:bidi="ar-SA"/>
        </w:rPr>
        <w:t>31,873.33万</w:t>
      </w:r>
      <w:bookmarkEnd w:id="2"/>
      <w:r>
        <w:rPr>
          <w:rFonts w:hint="eastAsia" w:ascii="仿宋" w:hAnsi="仿宋" w:eastAsia="仿宋" w:cs="仿宋"/>
          <w:kern w:val="2"/>
          <w:sz w:val="28"/>
          <w:szCs w:val="28"/>
          <w:lang w:val="en-US" w:eastAsia="zh-CN" w:bidi="ar-SA"/>
        </w:rPr>
        <w:t>元，占3支基金可投资总规模17.04%；投资服务贸易行业项目4个，投资金额9,211.00万元，占3支基金可投资总规模4.93%；投资信息技术行业3个，投资金额32,140.59万元，占3支基金可投资总规模17.19%；投资新材料行业项目1个，投资金额5,900.00万元，占3支基金可投资总规模3.16%；投资生物医药行业项目2个，投资金额5,500.00万元，占3支基金可投资总规模2.94%。</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562" w:firstLineChars="200"/>
        <w:jc w:val="left"/>
        <w:textAlignment w:val="baseline"/>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（四）绩效目标设立情况</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right="-86" w:rightChars="-41" w:firstLine="608"/>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晟汇投资公司制定的《哈尔滨新区产业引导基金参股子基金绩效评价管理办法（试行）》，是以引导基金的投资方向和政策目标为导向，运用科学、合理的绩效考评量化指标及评价标准，对引导基金参股设立的子基金政策目标的实现程度、投资运营状况及子基金管理人履职尽责等情况进行客观公正的评价。</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line="588" w:lineRule="exact"/>
        <w:ind w:firstLine="608"/>
        <w:jc w:val="left"/>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绩效考评以子基金的政策目标完成情况、投资运营情况、子基金管理机构履职尽责情况为基础，按照“政策效应-投资运营-管理效能”链条构建评价指标体系，包括3条一级指标、9条二级指标和20条三级指标，分别赋予相应权重，共计100分。另外，设置激励性指标2条，赋予20分分值。</w:t>
      </w:r>
    </w:p>
    <w:tbl>
      <w:tblPr>
        <w:tblStyle w:val="11"/>
        <w:tblW w:w="88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747"/>
        <w:gridCol w:w="613"/>
        <w:gridCol w:w="427"/>
        <w:gridCol w:w="2966"/>
        <w:gridCol w:w="3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一级</w:t>
            </w:r>
            <w:r>
              <w:rPr>
                <w:rFonts w:hint="eastAsia" w:ascii="仿宋" w:hAnsi="仿宋" w:eastAsia="仿宋" w:cs="仿宋"/>
                <w:b/>
                <w:bCs/>
                <w:i w:val="0"/>
                <w:iCs w:val="0"/>
                <w:snapToGrid w:val="0"/>
                <w:color w:val="000000"/>
                <w:kern w:val="0"/>
                <w:sz w:val="16"/>
                <w:szCs w:val="16"/>
                <w:u w:val="none"/>
                <w:lang w:val="en-US" w:eastAsia="zh-CN" w:bidi="ar"/>
              </w:rPr>
              <w:br w:type="textWrapping"/>
            </w:r>
            <w:r>
              <w:rPr>
                <w:rFonts w:hint="eastAsia" w:ascii="仿宋" w:hAnsi="仿宋" w:eastAsia="仿宋" w:cs="仿宋"/>
                <w:b/>
                <w:bCs/>
                <w:i w:val="0"/>
                <w:iCs w:val="0"/>
                <w:snapToGrid w:val="0"/>
                <w:color w:val="000000"/>
                <w:kern w:val="0"/>
                <w:sz w:val="16"/>
                <w:szCs w:val="16"/>
                <w:u w:val="none"/>
                <w:lang w:val="en-US" w:eastAsia="zh-CN" w:bidi="ar"/>
              </w:rPr>
              <w:t>指标</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二级</w:t>
            </w:r>
            <w:r>
              <w:rPr>
                <w:rFonts w:hint="eastAsia" w:ascii="仿宋" w:hAnsi="仿宋" w:eastAsia="仿宋" w:cs="仿宋"/>
                <w:b/>
                <w:bCs/>
                <w:i w:val="0"/>
                <w:iCs w:val="0"/>
                <w:snapToGrid w:val="0"/>
                <w:color w:val="000000"/>
                <w:kern w:val="0"/>
                <w:sz w:val="16"/>
                <w:szCs w:val="16"/>
                <w:u w:val="none"/>
                <w:lang w:val="en-US" w:eastAsia="zh-CN" w:bidi="ar"/>
              </w:rPr>
              <w:br w:type="textWrapping"/>
            </w:r>
            <w:r>
              <w:rPr>
                <w:rFonts w:hint="eastAsia" w:ascii="仿宋" w:hAnsi="仿宋" w:eastAsia="仿宋" w:cs="仿宋"/>
                <w:b/>
                <w:bCs/>
                <w:i w:val="0"/>
                <w:iCs w:val="0"/>
                <w:snapToGrid w:val="0"/>
                <w:color w:val="000000"/>
                <w:kern w:val="0"/>
                <w:sz w:val="16"/>
                <w:szCs w:val="16"/>
                <w:u w:val="none"/>
                <w:lang w:val="en-US" w:eastAsia="zh-CN" w:bidi="ar"/>
              </w:rPr>
              <w:t>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三级指标</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分值</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指标释义</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snapToGrid w:val="0"/>
                <w:color w:val="000000"/>
                <w:kern w:val="0"/>
                <w:sz w:val="16"/>
                <w:szCs w:val="16"/>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政策</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效应</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指标</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（45）</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财政</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资金</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放大</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效果</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（15）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撬动社会资本情况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子基金累计实缴总规模/引导基金对该子基金累计投资金额</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≥4得10分，≥3且＜4得8分，≥2且＜3得6分，＜2不得分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引导社会资本情况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子基金当期投资项目的累计融资金额/财政实缴规模</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≥1得5分，≥0.5且＜1得4分，＞0且＜0.5得3分，＝0不得分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政策</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引导</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效果</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本地</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返投比例</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子基金累计投资在哈尔滨市行政区划内的金额/引导基金对该子基金累计投资金额</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（1）子基金设立不超过3年（含）的，≥1.5得10分，≥1且＜1.5得8分，＞0且＜1得6分，=0不得分；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（2）子基金设立超过3年仍处于投资期内的，≥2得10分，≥1.5且＜2得8分，≥1且＜1.5得6分，＜1不得分；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3）投资期结束后，≥2（根据各基金政策规定中要求的返投比例确定，如规定返投比例为1.5倍，则≥1.5可得满分；规定中涉及子基金可投资总额的，可投资总额按子基金实缴总规模的90%确定，进而计算返投比例）得10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基金投向</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子基金投资在基金设立方案或协议确定的投资方向的金额/该子基金累计投资金额</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≥80%得10分，≥70%且＜80%得8分，≥60%且＜70%得6分，＜60%不得分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社会</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效益</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被投企业就业人数</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被投企业新增就业人数</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＞50得5分，＞0且≤50得3分，≤0不得分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被投企业营业收入</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被投企业营业收入增长率</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＞0.5得5分，＞0且≤0.5得3分，≤0不得分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激励性</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指标[0,20]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招商引资</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[0,10]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子基金参与招商引资，推进省外项目落地哈尔滨市行政区划内的数量</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每有1个加2分，该项最多加10分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被投资</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企业上市</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[0,10]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子基金投资的企业在境内外新上市企业的数量</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哈尔滨市行政区划内企业每有1个境内外上市企业加4分，每有1个新三板挂牌企业加2分；哈尔滨市行政区划外企业每有1个境内外上市企业加2分，每有1个新三板挂牌企业加1分；该项最多加10分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snapToGrid w:val="0"/>
                <w:color w:val="000000"/>
                <w:kern w:val="0"/>
                <w:sz w:val="16"/>
                <w:szCs w:val="16"/>
                <w:u w:val="none"/>
                <w:lang w:val="en-US" w:eastAsia="zh-CN" w:bidi="ar"/>
              </w:rPr>
            </w:pPr>
          </w:p>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snapToGrid w:val="0"/>
                <w:color w:val="000000"/>
                <w:kern w:val="0"/>
                <w:sz w:val="16"/>
                <w:szCs w:val="16"/>
                <w:u w:val="none"/>
                <w:lang w:val="en-US" w:eastAsia="zh-CN" w:bidi="ar"/>
              </w:rPr>
            </w:pPr>
          </w:p>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snapToGrid w:val="0"/>
                <w:color w:val="000000"/>
                <w:kern w:val="0"/>
                <w:sz w:val="16"/>
                <w:szCs w:val="16"/>
                <w:u w:val="none"/>
                <w:lang w:val="en-US" w:eastAsia="zh-CN" w:bidi="ar"/>
              </w:rPr>
            </w:pPr>
          </w:p>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投资</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运营</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指标</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（35）</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设立</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设立</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规范性</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引导基金对子基金出资决策流程是否规范；引导基金出资不早于社会资本；引导基金出资额不高于社会资本出资总额</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每项不符扣2分，扣完为止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设立进度</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子基金取得所申请引导基金投委会决策通过批复后，距首期资金募集到位时间间隔。</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≤3个月得6分，＞3个月且≤6个月得4分，＞6个月且≤9个月得2分，9个月不得分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出资进度</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子基金是否按照合伙协议约定履行出资，包括首期资金到位时间、实缴出资是否达到全部认缴出资总额</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每项不符扣3分，扣完为止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基金托管</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基金是否将基金资产委托给在中国境内设立的商业银行进行托管</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进行托管得2分，否则不得分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投资</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规范性</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计算值（单个项目或基金投资比例）=</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基金对单个基金或项目的投资金额/基金认缴总规模</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计算值≤20%得2分，否则不得分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管理人</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综合</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评价</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（15）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管理人</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情况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5</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三年以上从业经历人数、在管基金数量和规模</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具备至少有3名具备3年以上资产管理工作经验的高级管理人员，否则不得分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风控合规</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基金是否设有完善的运行管理制度、市场化的投决机制、是否按照程序进行尽职调查、是否对投资人进行定期的信息披露等。</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每项不符扣2分，扣完为止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登记报送情况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管理人及时、规范、真实准确完成中国证券投资基金业协会私募投资基金备案、国家发改委网站完成创业投资企业备案年检、全国政府出资产业投资基金信用信息登记系统完成备案及绩效评价等相关信息登记报送事项</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如有不符不得分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信用情况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3</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基金管理人及其高级管理人员、从业人员是否存在违反法律、法规的行为；是否被纳入全国信用信息共享平台失信名单；是否受到监管机构的行政处罚</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如有相关情形不得分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管理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效能</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（20）</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投资</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时效</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（10）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基金投资进度</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子基金累计投资金额/子基金可投资总额</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（1）子基金设立不超过3年（含）的，≥50%得10分，≥30%且＜50%得12分，＞0且＜30%得10分，=0不得分；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（2）子基金设立超过3年仍处于投资期内的，≥80%得10分，≥60%且＜80%得8分，≥40%且＜60%得6分，＜40%不得分；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（3）投资期结束后，≥90%得10分，≥80%且＜90%得8分，小于80%否则不得分；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（4）如子基金投资期结束后，认缴出资总额未全部到位，子基金可投资总额低于认缴出资总额的85%，扣5分。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业绩</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（6）</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资本保值增值率</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年末基金所有者权益/年初基金所有者权益</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（1）子基金处于投资期：≥1.2得6分，≥1且＜1.2得5分，≥0.9且＜1得4分，≥0.8且＜0.9得3分，＜0.8不得分；</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（2）子基金处于退出期及延长期：≥1.2得6分，≥1且＜1.2得3分，≥0.9且＜1得1分，＜0.9不得分；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val="0"/>
                <w:bCs w:val="0"/>
                <w:i w:val="0"/>
                <w:iCs w:val="0"/>
                <w:color w:val="000000"/>
                <w:sz w:val="16"/>
                <w:szCs w:val="16"/>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资金</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使用</w:t>
            </w:r>
            <w:r>
              <w:rPr>
                <w:rFonts w:hint="eastAsia" w:ascii="仿宋" w:hAnsi="仿宋" w:eastAsia="仿宋" w:cs="仿宋"/>
                <w:b w:val="0"/>
                <w:bCs w:val="0"/>
                <w:i w:val="0"/>
                <w:iCs w:val="0"/>
                <w:snapToGrid w:val="0"/>
                <w:color w:val="000000"/>
                <w:kern w:val="0"/>
                <w:sz w:val="16"/>
                <w:szCs w:val="16"/>
                <w:u w:val="none"/>
                <w:lang w:val="en-US" w:eastAsia="zh-CN" w:bidi="ar"/>
              </w:rPr>
              <w:br w:type="textWrapping"/>
            </w:r>
            <w:r>
              <w:rPr>
                <w:rFonts w:hint="eastAsia" w:ascii="仿宋" w:hAnsi="仿宋" w:eastAsia="仿宋" w:cs="仿宋"/>
                <w:b w:val="0"/>
                <w:bCs w:val="0"/>
                <w:i w:val="0"/>
                <w:iCs w:val="0"/>
                <w:snapToGrid w:val="0"/>
                <w:color w:val="000000"/>
                <w:kern w:val="0"/>
                <w:sz w:val="16"/>
                <w:szCs w:val="16"/>
                <w:u w:val="none"/>
                <w:lang w:val="en-US" w:eastAsia="zh-CN" w:bidi="ar"/>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闲置资金投资情况</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基金闲置资金只能投资于银行存款、国债、地方政府债、政策性金融债和政府支持债券等安全性和流动性较好的固定收益类资产。</w:t>
            </w:r>
          </w:p>
        </w:tc>
        <w:tc>
          <w:tcPr>
            <w:tcW w:w="3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b w:val="0"/>
                <w:bCs w:val="0"/>
                <w:i w:val="0"/>
                <w:iCs w:val="0"/>
                <w:color w:val="000000"/>
                <w:sz w:val="16"/>
                <w:szCs w:val="16"/>
                <w:u w:val="none"/>
              </w:rPr>
            </w:pPr>
            <w:r>
              <w:rPr>
                <w:rFonts w:hint="eastAsia" w:ascii="仿宋" w:hAnsi="仿宋" w:eastAsia="仿宋" w:cs="仿宋"/>
                <w:b w:val="0"/>
                <w:bCs w:val="0"/>
                <w:i w:val="0"/>
                <w:iCs w:val="0"/>
                <w:snapToGrid w:val="0"/>
                <w:color w:val="000000"/>
                <w:kern w:val="0"/>
                <w:sz w:val="16"/>
                <w:szCs w:val="16"/>
                <w:u w:val="none"/>
                <w:lang w:val="en-US" w:eastAsia="zh-CN" w:bidi="ar"/>
              </w:rPr>
              <w:t>如有不符不得分</w:t>
            </w:r>
          </w:p>
        </w:tc>
      </w:tr>
    </w:tbl>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bookmarkStart w:id="3" w:name="_bookmark8"/>
      <w:bookmarkEnd w:id="3"/>
      <w:bookmarkStart w:id="4" w:name="_bookmark9"/>
      <w:bookmarkEnd w:id="4"/>
      <w:r>
        <w:rPr>
          <w:rFonts w:hint="eastAsia" w:ascii="仿宋" w:hAnsi="仿宋" w:eastAsia="仿宋" w:cs="仿宋"/>
          <w:sz w:val="28"/>
          <w:szCs w:val="28"/>
          <w:lang w:val="en-US" w:eastAsia="zh-CN"/>
        </w:rPr>
        <w:t>注：2022年度哈尔滨新区产业引导基金绩效评价指标体系评分表</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二、绩效自评情况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(一)绩效自评概述</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晟汇投资有限责任公司于2023年5月25日完成绩效自评工作，形成了《2022年哈尔滨新区产业引导基金绩效自评报告》。晟汇投资公司以公平性、经济性、效果性为原则，按“政策效应-投资运营-管理效能”链条构建评价指标体系，对参股子基金进行绩效考核评分：科力北方基金绩效评分为98分，绩效评价等级为“优秀”；商纵秋歌基金绩效评分为61分，绩效评价等级为“及格”；拾珍基金绩效评分为64分，绩效评价等级为“及格”；新区产业引导基金加权绩效评分为93.77分，绩效评价等级为“优秀”。</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5" w:name="_bookmark10"/>
      <w:bookmarkEnd w:id="5"/>
      <w:r>
        <w:rPr>
          <w:rFonts w:hint="eastAsia" w:ascii="仿宋" w:hAnsi="仿宋" w:eastAsia="仿宋" w:cs="仿宋"/>
          <w:b/>
          <w:bCs/>
          <w:sz w:val="28"/>
          <w:szCs w:val="28"/>
          <w:lang w:val="en-US" w:eastAsia="zh-CN"/>
        </w:rPr>
        <w:t>(二)绩效自评结论</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1、参股子基金投资进度方面。科力北方基金账户剩余资金85,800.00万元，距投资期结束还有1年，基金剩余投资时间较为紧张。</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2、子基金投后管理方面。部分被投企业受行业政策变化、疫情反复等多重因素影响，企业发展面临不少难题，个别企业进入发展困境。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被投企业运行风险方面。商纵秋歌基金全部围绕供销大集集团股份有限公司酷铺、电子商务、仓储物流、供应链服务业务开展投资。因受供销大集大股东海航集团破产重组影响，且因供销大集受海航集团及关联方侵占资金较大，自身业务拓展受到极大制约影响，基金被投企业运行困难，已停滞经营。基金管理人暂未提出项目未来退出方案，基金可能面临较大亏损风险。</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子基金返投认定范围较窄，基金引导作用受限。子基金合伙协议中规定了严格的返投资金规模要求，返投的认定范围较窄，一定程度上降低了子基金管理人将优质项目引入哈市新区的积极性和基金助力哈市新区招才引资的效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5、新区产业引导基金尚未建立投资容错机制，部分基金管理人在投资过程中束手束脚，存在“不敢投”“不想投”等问题。</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6" w:name="_bookmark11"/>
      <w:bookmarkEnd w:id="6"/>
      <w:bookmarkStart w:id="7" w:name="_bookmark12"/>
      <w:bookmarkEnd w:id="7"/>
      <w:r>
        <w:rPr>
          <w:rFonts w:hint="eastAsia" w:ascii="仿宋" w:hAnsi="仿宋" w:eastAsia="仿宋" w:cs="仿宋"/>
          <w:b/>
          <w:bCs/>
          <w:sz w:val="28"/>
          <w:szCs w:val="28"/>
          <w:lang w:val="en-US" w:eastAsia="zh-CN"/>
        </w:rPr>
        <w:t>三、绩效再评价组织情况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(一)评价依据</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bookmarkStart w:id="8" w:name="_bookmark13"/>
      <w:bookmarkEnd w:id="8"/>
      <w:r>
        <w:rPr>
          <w:rFonts w:hint="eastAsia" w:ascii="仿宋" w:hAnsi="仿宋" w:eastAsia="仿宋" w:cs="仿宋"/>
          <w:sz w:val="28"/>
          <w:szCs w:val="28"/>
          <w:lang w:val="en-US" w:eastAsia="zh-CN"/>
        </w:rPr>
        <w:t>1、财政部《政府投资基金暂行管理办法》（财预〔2015〕210号）；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2、国家发改委《政府出资产业投资基金管理暂行办法》（发改财金规〔2016〕2800号）；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3、《关于加强政府投资基金管理提高财政出资效益的通知》（财预〔2020〕7号）；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4、《哈尔滨市人民政府办公厅关于印发哈尔滨市产业引导基金及哈尔滨新区产业引导基金设立方案的通知》（哈政办规〔2017〕42号）；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5、《哈尔滨新区（江北一体发展区）财政和金融服务局政府投资基金绩效评价管理办法（试行）》（哈松财发〔2022〕90号）；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6、相关引导基金、子基金管理制度和管理办法；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7、主管部门及项目单位提供的自评资料；</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8、其他相关政策、管理规定和财务会计制度。</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(二)评价方法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1、内控测评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收集引导基金管理的相关制度并评价其内控健全性，了解基金业务管理和资金管理的流程和关键控制点，测试基金运营管理单位及基金发起人、基金管理人、基金托管人是否建立并执行相应的监控措施，是否有效控制基金的科学管理、规范运作，是否建立健全内部控制和风险防范机制，保障引导基金运行安全，切实发挥好政府产业基金的引导作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2、资料审阅</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获取基金管理人的财务报告及审计报告、基金运营报告、托管报告、投资协议、投委会决议及相关业务管理信息；获取基金公司及被投资单位财务报告及审计报告、经营（运营）工作分析报告；获取项目投资进度、基金投资范围、项目储备情况、风控管理、投后管理、基金投资收益等考核指标的书面材料。通过查阅资料初步了解基金实施情况和绩效目标的实现情况，为再评价工作收集充分、有效的证据。</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3、网络调查法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搜索被投企业网站、政府网站等获得相关数据信息，进行基本背景、宏观数据政策的搜集和研究。进一步了解政策导向及各项基金的基本架构、出资人情况、投资目标，以及被投企业未来市场变化动态及发展趋势。</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4、比较分析法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逐一分析、对比引导基金预定目标和实际完成情况，分析基金投资方向、投资效益，是否发挥政府的引导作用，加快经济结构和区域经济协调发展；分析基金产生的社会效益、可持续性影响，是否有效带动和引导社会投资，发挥金融资金杠杆效应；分析预计退出机制、评估退出风险，是否发挥了市场资源配置效率和效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5、实地调查法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开展实地调查评价，在现场采用收集资料、研究案卷、统计服务成果等方式进行实地调查取证。拟定资料清单向被调查单位和人员收集资料或进行现场随机访谈。</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(三)指标体系</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1、绩效再评价指标</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再评价指标体系包括政策效应、投资运营、管理效能3个一级指标，其中：政策效应包括财政资金放大效果、政策引导效果、社会效益、激励性指标等4个指标；投资运营包括设立、管理人综合评价等2个指标；管理效能包括投资时效、基金业绩、资金使用等3个指标。评价指标体系共计3条一级指标、9条二级指标和20条三级指标，分别赋予相应权重，共计100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2、绩效再评价指标分值权重</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绩效再评价为百分制，最终得分由各指标得分累计加总形成。绩效再评价指标体系从政策效应、投资运营、管理效能三个方面进行构建，“政策效应”分值权重45分，“投资运营”分值权重35分，“管理效能”分值权重20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3、再评价标准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绩效评价结果采取评分和评级相结合的形式，具体分值和等级可根据不同评价内容设定。一般划分四档：90（含）-100分为优秀、80（含）-90分为良好、60（含）-80分为及格、60分以下为不及格。</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9" w:name="_bookmark15"/>
      <w:bookmarkEnd w:id="9"/>
      <w:bookmarkStart w:id="10" w:name="_bookmark17"/>
      <w:bookmarkEnd w:id="10"/>
      <w:bookmarkStart w:id="11" w:name="_bookmark16"/>
      <w:bookmarkEnd w:id="11"/>
      <w:r>
        <w:rPr>
          <w:rFonts w:hint="eastAsia" w:ascii="仿宋" w:hAnsi="仿宋" w:eastAsia="仿宋" w:cs="仿宋"/>
          <w:b/>
          <w:bCs/>
          <w:sz w:val="28"/>
          <w:szCs w:val="28"/>
          <w:lang w:val="en-US" w:eastAsia="zh-CN"/>
        </w:rPr>
        <w:t>四、绩效再评价结论</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根据松北财政局的委托要求，我们对2022年度哈尔滨新区产业引导基金三支子基金的政策效应、投资运营、管理效能等方面进行了绩效再评价，下面分别阐述如下：</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(一)科力北方基金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1、绩效再评价综合评分情况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9"/>
          <w:szCs w:val="29"/>
          <w:highlight w:val="none"/>
        </w:rPr>
      </w:pPr>
      <w:r>
        <w:rPr>
          <w:rFonts w:hint="eastAsia" w:ascii="仿宋" w:hAnsi="仿宋" w:eastAsia="仿宋" w:cs="仿宋"/>
          <w:sz w:val="28"/>
          <w:szCs w:val="28"/>
          <w:lang w:val="en-US" w:eastAsia="zh-CN"/>
        </w:rPr>
        <w:t>科力北方基金绩效评分91分，绩效评价等级为“优秀”，一级指标具体得分情况详见下表：</w:t>
      </w:r>
    </w:p>
    <w:p>
      <w:pPr>
        <w:keepNext w:val="0"/>
        <w:keepLines w:val="0"/>
        <w:pageBreakBefore w:val="0"/>
        <w:widowControl w:val="0"/>
        <w:wordWrap/>
        <w:overflowPunct/>
        <w:topLinePunct w:val="0"/>
        <w:bidi w:val="0"/>
        <w:spacing w:line="106" w:lineRule="exact"/>
        <w:rPr>
          <w:rFonts w:hint="eastAsia" w:ascii="仿宋" w:hAnsi="仿宋" w:eastAsia="仿宋" w:cs="仿宋"/>
          <w:highlight w:val="yellow"/>
        </w:rPr>
      </w:pPr>
    </w:p>
    <w:tbl>
      <w:tblPr>
        <w:tblStyle w:val="31"/>
        <w:tblW w:w="884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5"/>
        <w:gridCol w:w="2210"/>
        <w:gridCol w:w="2210"/>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7" w:line="337" w:lineRule="exact"/>
              <w:ind w:left="625"/>
              <w:rPr>
                <w:rFonts w:hint="eastAsia" w:ascii="仿宋" w:hAnsi="仿宋" w:eastAsia="仿宋" w:cs="仿宋"/>
                <w:sz w:val="23"/>
                <w:szCs w:val="23"/>
                <w:highlight w:val="none"/>
              </w:rPr>
            </w:pPr>
            <w:r>
              <w:rPr>
                <w:rFonts w:hint="eastAsia" w:ascii="仿宋" w:hAnsi="仿宋" w:eastAsia="仿宋" w:cs="仿宋"/>
                <w:spacing w:val="14"/>
                <w:position w:val="1"/>
                <w:sz w:val="23"/>
                <w:szCs w:val="23"/>
                <w:highlight w:val="none"/>
                <w14:textOutline w14:w="4358" w14:cap="sq" w14:cmpd="sng">
                  <w14:solidFill>
                    <w14:srgbClr w14:val="000000"/>
                  </w14:solidFill>
                  <w14:prstDash w14:val="solid"/>
                  <w14:bevel/>
                </w14:textOutline>
              </w:rPr>
              <w:t>一</w:t>
            </w:r>
            <w:r>
              <w:rPr>
                <w:rFonts w:hint="eastAsia" w:ascii="仿宋" w:hAnsi="仿宋" w:eastAsia="仿宋" w:cs="仿宋"/>
                <w:spacing w:val="13"/>
                <w:position w:val="1"/>
                <w:sz w:val="23"/>
                <w:szCs w:val="23"/>
                <w:highlight w:val="none"/>
                <w14:textOutline w14:w="4358" w14:cap="sq" w14:cmpd="sng">
                  <w14:solidFill>
                    <w14:srgbClr w14:val="000000"/>
                  </w14:solidFill>
                  <w14:prstDash w14:val="solid"/>
                  <w14:bevel/>
                </w14:textOutline>
              </w:rPr>
              <w:t>级指标</w:t>
            </w:r>
          </w:p>
        </w:tc>
        <w:tc>
          <w:tcPr>
            <w:tcW w:w="2210" w:type="dxa"/>
            <w:tcBorders>
              <w:tl2br w:val="nil"/>
              <w:tr2bl w:val="nil"/>
            </w:tcBorders>
            <w:vAlign w:val="top"/>
          </w:tcPr>
          <w:p>
            <w:pPr>
              <w:keepNext w:val="0"/>
              <w:keepLines w:val="0"/>
              <w:pageBreakBefore w:val="0"/>
              <w:widowControl w:val="0"/>
              <w:wordWrap/>
              <w:overflowPunct/>
              <w:topLinePunct w:val="0"/>
              <w:bidi w:val="0"/>
              <w:spacing w:before="98" w:line="225" w:lineRule="auto"/>
              <w:ind w:left="611"/>
              <w:jc w:val="both"/>
              <w:rPr>
                <w:rFonts w:hint="eastAsia" w:ascii="仿宋" w:hAnsi="仿宋" w:eastAsia="仿宋" w:cs="仿宋"/>
                <w:sz w:val="23"/>
                <w:szCs w:val="23"/>
                <w:highlight w:val="none"/>
              </w:rPr>
            </w:pPr>
            <w:r>
              <w:rPr>
                <w:rFonts w:hint="eastAsia" w:ascii="仿宋" w:hAnsi="仿宋" w:eastAsia="仿宋" w:cs="仿宋"/>
                <w:spacing w:val="18"/>
                <w:sz w:val="23"/>
                <w:szCs w:val="23"/>
                <w:highlight w:val="none"/>
                <w14:textOutline w14:w="4358" w14:cap="sq" w14:cmpd="sng">
                  <w14:solidFill>
                    <w14:srgbClr w14:val="000000"/>
                  </w14:solidFill>
                  <w14:prstDash w14:val="solid"/>
                  <w14:bevel/>
                </w14:textOutline>
              </w:rPr>
              <w:t>指</w:t>
            </w:r>
            <w:r>
              <w:rPr>
                <w:rFonts w:hint="eastAsia" w:ascii="仿宋" w:hAnsi="仿宋" w:eastAsia="仿宋" w:cs="仿宋"/>
                <w:spacing w:val="16"/>
                <w:sz w:val="23"/>
                <w:szCs w:val="23"/>
                <w:highlight w:val="none"/>
                <w14:textOutline w14:w="4358" w14:cap="sq" w14:cmpd="sng">
                  <w14:solidFill>
                    <w14:srgbClr w14:val="000000"/>
                  </w14:solidFill>
                  <w14:prstDash w14:val="solid"/>
                  <w14:bevel/>
                </w14:textOutline>
              </w:rPr>
              <w:t>标分值</w:t>
            </w:r>
          </w:p>
        </w:tc>
        <w:tc>
          <w:tcPr>
            <w:tcW w:w="2210" w:type="dxa"/>
            <w:tcBorders>
              <w:tl2br w:val="nil"/>
              <w:tr2bl w:val="nil"/>
            </w:tcBorders>
            <w:vAlign w:val="top"/>
          </w:tcPr>
          <w:p>
            <w:pPr>
              <w:keepNext w:val="0"/>
              <w:keepLines w:val="0"/>
              <w:pageBreakBefore w:val="0"/>
              <w:widowControl w:val="0"/>
              <w:wordWrap/>
              <w:overflowPunct/>
              <w:topLinePunct w:val="0"/>
              <w:bidi w:val="0"/>
              <w:spacing w:before="98" w:line="225" w:lineRule="auto"/>
              <w:ind w:left="608"/>
              <w:jc w:val="both"/>
              <w:rPr>
                <w:rFonts w:hint="eastAsia" w:ascii="仿宋" w:hAnsi="仿宋" w:eastAsia="仿宋" w:cs="仿宋"/>
                <w:sz w:val="23"/>
                <w:szCs w:val="23"/>
                <w:highlight w:val="none"/>
              </w:rPr>
            </w:pPr>
            <w:r>
              <w:rPr>
                <w:rFonts w:hint="eastAsia" w:ascii="仿宋" w:hAnsi="仿宋" w:eastAsia="仿宋" w:cs="仿宋"/>
                <w:spacing w:val="18"/>
                <w:sz w:val="23"/>
                <w:szCs w:val="23"/>
                <w:highlight w:val="none"/>
                <w14:textOutline w14:w="4358" w14:cap="sq" w14:cmpd="sng">
                  <w14:solidFill>
                    <w14:srgbClr w14:val="000000"/>
                  </w14:solidFill>
                  <w14:prstDash w14:val="solid"/>
                  <w14:bevel/>
                </w14:textOutline>
              </w:rPr>
              <w:t>评</w:t>
            </w:r>
            <w:r>
              <w:rPr>
                <w:rFonts w:hint="eastAsia" w:ascii="仿宋" w:hAnsi="仿宋" w:eastAsia="仿宋" w:cs="仿宋"/>
                <w:spacing w:val="17"/>
                <w:sz w:val="23"/>
                <w:szCs w:val="23"/>
                <w:highlight w:val="none"/>
                <w14:textOutline w14:w="4358" w14:cap="sq" w14:cmpd="sng">
                  <w14:solidFill>
                    <w14:srgbClr w14:val="000000"/>
                  </w14:solidFill>
                  <w14:prstDash w14:val="solid"/>
                  <w14:bevel/>
                </w14:textOutline>
              </w:rPr>
              <w:t>价得分</w:t>
            </w:r>
          </w:p>
        </w:tc>
        <w:tc>
          <w:tcPr>
            <w:tcW w:w="2214" w:type="dxa"/>
            <w:tcBorders>
              <w:tl2br w:val="nil"/>
              <w:tr2bl w:val="nil"/>
            </w:tcBorders>
            <w:vAlign w:val="top"/>
          </w:tcPr>
          <w:p>
            <w:pPr>
              <w:keepNext w:val="0"/>
              <w:keepLines w:val="0"/>
              <w:pageBreakBefore w:val="0"/>
              <w:widowControl w:val="0"/>
              <w:wordWrap/>
              <w:overflowPunct/>
              <w:topLinePunct w:val="0"/>
              <w:bidi w:val="0"/>
              <w:spacing w:before="98" w:line="225" w:lineRule="auto"/>
              <w:ind w:left="740"/>
              <w:jc w:val="both"/>
              <w:rPr>
                <w:rFonts w:hint="eastAsia" w:ascii="仿宋" w:hAnsi="仿宋" w:eastAsia="仿宋" w:cs="仿宋"/>
                <w:sz w:val="23"/>
                <w:szCs w:val="23"/>
                <w:highlight w:val="none"/>
              </w:rPr>
            </w:pPr>
            <w:r>
              <w:rPr>
                <w:rFonts w:hint="eastAsia" w:ascii="仿宋" w:hAnsi="仿宋" w:eastAsia="仿宋" w:cs="仿宋"/>
                <w:spacing w:val="15"/>
                <w:sz w:val="23"/>
                <w:szCs w:val="23"/>
                <w:highlight w:val="none"/>
                <w14:textOutline w14:w="4358" w14:cap="sq" w14:cmpd="sng">
                  <w14:solidFill>
                    <w14:srgbClr w14:val="000000"/>
                  </w14:solidFill>
                  <w14:prstDash w14:val="solid"/>
                  <w14:bevel/>
                </w14:textOutline>
              </w:rPr>
              <w:t>得</w:t>
            </w:r>
            <w:r>
              <w:rPr>
                <w:rFonts w:hint="eastAsia" w:ascii="仿宋" w:hAnsi="仿宋" w:eastAsia="仿宋" w:cs="仿宋"/>
                <w:spacing w:val="14"/>
                <w:sz w:val="23"/>
                <w:szCs w:val="23"/>
                <w:highlight w:val="none"/>
                <w14:textOutline w14:w="4358" w14:cap="sq" w14:cmpd="sng">
                  <w14:solidFill>
                    <w14:srgbClr w14:val="000000"/>
                  </w14:solidFill>
                  <w14:prstDash w14:val="solid"/>
                  <w14:bevel/>
                </w14:textOutline>
              </w:rPr>
              <w:t>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5" w:line="227" w:lineRule="auto"/>
              <w:jc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政策效应</w:t>
            </w:r>
          </w:p>
        </w:tc>
        <w:tc>
          <w:tcPr>
            <w:tcW w:w="2210" w:type="dxa"/>
            <w:tcBorders>
              <w:tl2br w:val="nil"/>
              <w:tr2bl w:val="nil"/>
            </w:tcBorders>
            <w:vAlign w:val="top"/>
          </w:tcPr>
          <w:p>
            <w:pPr>
              <w:keepNext w:val="0"/>
              <w:keepLines w:val="0"/>
              <w:pageBreakBefore w:val="0"/>
              <w:widowControl w:val="0"/>
              <w:wordWrap/>
              <w:overflowPunct/>
              <w:topLinePunct w:val="0"/>
              <w:bidi w:val="0"/>
              <w:spacing w:before="126" w:line="192" w:lineRule="auto"/>
              <w:ind w:left="1007"/>
              <w:jc w:val="both"/>
              <w:rPr>
                <w:rFonts w:hint="eastAsia" w:ascii="仿宋" w:hAnsi="仿宋" w:eastAsia="仿宋" w:cs="仿宋"/>
                <w:sz w:val="23"/>
                <w:szCs w:val="23"/>
                <w:highlight w:val="none"/>
                <w:lang w:val="en-US" w:eastAsia="zh-CN"/>
              </w:rPr>
            </w:pPr>
            <w:r>
              <w:rPr>
                <w:rFonts w:hint="eastAsia" w:ascii="仿宋" w:hAnsi="仿宋" w:eastAsia="仿宋" w:cs="仿宋"/>
                <w:spacing w:val="-8"/>
                <w:sz w:val="23"/>
                <w:szCs w:val="23"/>
                <w:highlight w:val="none"/>
                <w:lang w:val="en-US" w:eastAsia="zh-CN"/>
              </w:rPr>
              <w:t>45</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46</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102.22%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5" w:line="226" w:lineRule="auto"/>
              <w:jc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投资运营</w:t>
            </w:r>
          </w:p>
        </w:tc>
        <w:tc>
          <w:tcPr>
            <w:tcW w:w="2210" w:type="dxa"/>
            <w:tcBorders>
              <w:tl2br w:val="nil"/>
              <w:tr2bl w:val="nil"/>
            </w:tcBorders>
            <w:vAlign w:val="top"/>
          </w:tcPr>
          <w:p>
            <w:pPr>
              <w:keepNext w:val="0"/>
              <w:keepLines w:val="0"/>
              <w:pageBreakBefore w:val="0"/>
              <w:widowControl w:val="0"/>
              <w:wordWrap/>
              <w:overflowPunct/>
              <w:topLinePunct w:val="0"/>
              <w:bidi w:val="0"/>
              <w:spacing w:before="128" w:line="192" w:lineRule="auto"/>
              <w:ind w:left="1000"/>
              <w:jc w:val="both"/>
              <w:rPr>
                <w:rFonts w:hint="eastAsia" w:ascii="仿宋" w:hAnsi="仿宋" w:eastAsia="仿宋" w:cs="仿宋"/>
                <w:sz w:val="23"/>
                <w:szCs w:val="23"/>
                <w:highlight w:val="none"/>
                <w:lang w:val="en-US" w:eastAsia="zh-CN"/>
              </w:rPr>
            </w:pPr>
            <w:r>
              <w:rPr>
                <w:rFonts w:hint="eastAsia" w:ascii="仿宋" w:hAnsi="仿宋" w:eastAsia="仿宋" w:cs="仿宋"/>
                <w:spacing w:val="-4"/>
                <w:sz w:val="23"/>
                <w:szCs w:val="23"/>
                <w:highlight w:val="none"/>
                <w:lang w:val="en-US" w:eastAsia="zh-CN"/>
              </w:rPr>
              <w:t>35</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30</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85.71%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6" w:line="227" w:lineRule="auto"/>
              <w:jc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管理效能</w:t>
            </w:r>
          </w:p>
        </w:tc>
        <w:tc>
          <w:tcPr>
            <w:tcW w:w="2210" w:type="dxa"/>
            <w:tcBorders>
              <w:tl2br w:val="nil"/>
              <w:tr2bl w:val="nil"/>
            </w:tcBorders>
            <w:vAlign w:val="top"/>
          </w:tcPr>
          <w:p>
            <w:pPr>
              <w:keepNext w:val="0"/>
              <w:keepLines w:val="0"/>
              <w:pageBreakBefore w:val="0"/>
              <w:widowControl w:val="0"/>
              <w:wordWrap/>
              <w:overflowPunct/>
              <w:topLinePunct w:val="0"/>
              <w:bidi w:val="0"/>
              <w:spacing w:before="128" w:line="192" w:lineRule="auto"/>
              <w:ind w:left="1001"/>
              <w:jc w:val="both"/>
              <w:rPr>
                <w:rFonts w:hint="eastAsia" w:ascii="仿宋" w:hAnsi="仿宋" w:eastAsia="仿宋" w:cs="仿宋"/>
                <w:sz w:val="23"/>
                <w:szCs w:val="23"/>
                <w:highlight w:val="none"/>
                <w:lang w:val="en-US" w:eastAsia="zh-CN"/>
              </w:rPr>
            </w:pPr>
            <w:r>
              <w:rPr>
                <w:rFonts w:hint="eastAsia" w:ascii="仿宋" w:hAnsi="仿宋" w:eastAsia="仿宋" w:cs="仿宋"/>
                <w:spacing w:val="-5"/>
                <w:sz w:val="23"/>
                <w:szCs w:val="23"/>
                <w:highlight w:val="none"/>
                <w:lang w:val="en-US" w:eastAsia="zh-CN"/>
              </w:rPr>
              <w:t>20</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15</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8" w:line="225" w:lineRule="auto"/>
              <w:ind w:left="865"/>
              <w:rPr>
                <w:rFonts w:hint="eastAsia" w:ascii="仿宋" w:hAnsi="仿宋" w:eastAsia="仿宋" w:cs="仿宋"/>
                <w:sz w:val="23"/>
                <w:szCs w:val="23"/>
                <w:highlight w:val="none"/>
              </w:rPr>
            </w:pPr>
            <w:r>
              <w:rPr>
                <w:rFonts w:hint="eastAsia" w:ascii="仿宋" w:hAnsi="仿宋" w:eastAsia="仿宋" w:cs="仿宋"/>
                <w:spacing w:val="10"/>
                <w:sz w:val="23"/>
                <w:szCs w:val="23"/>
                <w:highlight w:val="none"/>
                <w14:textOutline w14:w="4358" w14:cap="sq" w14:cmpd="sng">
                  <w14:solidFill>
                    <w14:srgbClr w14:val="000000"/>
                  </w14:solidFill>
                  <w14:prstDash w14:val="solid"/>
                  <w14:bevel/>
                </w14:textOutline>
              </w:rPr>
              <w:t>合</w:t>
            </w:r>
            <w:r>
              <w:rPr>
                <w:rFonts w:hint="eastAsia" w:ascii="仿宋" w:hAnsi="仿宋" w:eastAsia="仿宋" w:cs="仿宋"/>
                <w:spacing w:val="9"/>
                <w:sz w:val="23"/>
                <w:szCs w:val="23"/>
                <w:highlight w:val="none"/>
                <w14:textOutline w14:w="4358" w14:cap="sq" w14:cmpd="sng">
                  <w14:solidFill>
                    <w14:srgbClr w14:val="000000"/>
                  </w14:solidFill>
                  <w14:prstDash w14:val="solid"/>
                  <w14:bevel/>
                </w14:textOutline>
              </w:rPr>
              <w:t>计</w:t>
            </w:r>
          </w:p>
        </w:tc>
        <w:tc>
          <w:tcPr>
            <w:tcW w:w="2210" w:type="dxa"/>
            <w:tcBorders>
              <w:tl2br w:val="nil"/>
              <w:tr2bl w:val="nil"/>
            </w:tcBorders>
            <w:vAlign w:val="top"/>
          </w:tcPr>
          <w:p>
            <w:pPr>
              <w:keepNext w:val="0"/>
              <w:keepLines w:val="0"/>
              <w:pageBreakBefore w:val="0"/>
              <w:widowControl w:val="0"/>
              <w:wordWrap/>
              <w:overflowPunct/>
              <w:topLinePunct w:val="0"/>
              <w:bidi w:val="0"/>
              <w:spacing w:before="131" w:line="192" w:lineRule="auto"/>
              <w:ind w:left="947"/>
              <w:jc w:val="both"/>
              <w:rPr>
                <w:rFonts w:hint="eastAsia" w:ascii="仿宋" w:hAnsi="仿宋" w:eastAsia="仿宋" w:cs="仿宋"/>
                <w:sz w:val="23"/>
                <w:szCs w:val="23"/>
                <w:highlight w:val="none"/>
              </w:rPr>
            </w:pPr>
            <w:r>
              <w:rPr>
                <w:rFonts w:hint="eastAsia" w:ascii="仿宋" w:hAnsi="仿宋" w:eastAsia="仿宋" w:cs="仿宋"/>
                <w:spacing w:val="-4"/>
                <w:sz w:val="23"/>
                <w:szCs w:val="23"/>
                <w:highlight w:val="none"/>
                <w14:textOutline w14:w="4358" w14:cap="sq" w14:cmpd="sng">
                  <w14:solidFill>
                    <w14:srgbClr w14:val="000000"/>
                  </w14:solidFill>
                  <w14:prstDash w14:val="solid"/>
                  <w14:bevel/>
                </w14:textOutline>
              </w:rPr>
              <w:t>1</w:t>
            </w:r>
            <w:r>
              <w:rPr>
                <w:rFonts w:hint="eastAsia" w:ascii="仿宋" w:hAnsi="仿宋" w:eastAsia="仿宋" w:cs="仿宋"/>
                <w:spacing w:val="-2"/>
                <w:sz w:val="23"/>
                <w:szCs w:val="23"/>
                <w:highlight w:val="none"/>
                <w14:textOutline w14:w="4358" w14:cap="sq" w14:cmpd="sng">
                  <w14:solidFill>
                    <w14:srgbClr w14:val="000000"/>
                  </w14:solidFill>
                  <w14:prstDash w14:val="solid"/>
                  <w14:bevel/>
                </w14:textOutline>
              </w:rPr>
              <w:t>00</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sz w:val="23"/>
                <w:szCs w:val="23"/>
                <w:highlight w:val="none"/>
                <w:lang w:val="en-US" w:eastAsia="zh-CN"/>
              </w:rPr>
            </w:pPr>
            <w:r>
              <w:rPr>
                <w:rFonts w:hint="eastAsia" w:ascii="仿宋" w:hAnsi="仿宋" w:eastAsia="仿宋" w:cs="仿宋"/>
                <w:spacing w:val="-2"/>
                <w:sz w:val="23"/>
                <w:szCs w:val="23"/>
                <w:highlight w:val="none"/>
                <w:lang w:val="en-US" w:eastAsia="zh-CN"/>
                <w14:textOutline w14:w="4358" w14:cap="sq" w14:cmpd="sng">
                  <w14:solidFill>
                    <w14:srgbClr w14:val="000000"/>
                  </w14:solidFill>
                  <w14:prstDash w14:val="solid"/>
                  <w14:bevel/>
                </w14:textOutline>
              </w:rPr>
              <w:t>91</w:t>
            </w:r>
          </w:p>
        </w:tc>
        <w:tc>
          <w:tcPr>
            <w:tcW w:w="2214" w:type="dxa"/>
            <w:tcBorders>
              <w:tl2br w:val="nil"/>
              <w:tr2bl w:val="nil"/>
            </w:tcBorders>
            <w:vAlign w:val="top"/>
          </w:tcPr>
          <w:p>
            <w:pPr>
              <w:keepNext w:val="0"/>
              <w:keepLines w:val="0"/>
              <w:pageBreakBefore w:val="0"/>
              <w:widowControl w:val="0"/>
              <w:wordWrap/>
              <w:overflowPunct/>
              <w:topLinePunct w:val="0"/>
              <w:bidi w:val="0"/>
              <w:spacing w:before="100" w:line="304" w:lineRule="exact"/>
              <w:ind w:left="764"/>
              <w:jc w:val="both"/>
              <w:rPr>
                <w:rFonts w:hint="eastAsia" w:ascii="仿宋" w:hAnsi="仿宋" w:eastAsia="仿宋" w:cs="仿宋"/>
                <w:b/>
                <w:bCs/>
                <w:sz w:val="23"/>
                <w:szCs w:val="23"/>
                <w:highlight w:val="none"/>
                <w:lang w:val="en-US" w:eastAsia="zh-CN"/>
              </w:rPr>
            </w:pPr>
            <w:r>
              <w:rPr>
                <w:rFonts w:hint="eastAsia" w:ascii="仿宋" w:hAnsi="仿宋" w:eastAsia="仿宋" w:cs="仿宋"/>
                <w:b/>
                <w:bCs/>
                <w:sz w:val="23"/>
                <w:szCs w:val="23"/>
                <w:highlight w:val="none"/>
                <w:lang w:val="en-US" w:eastAsia="zh-CN"/>
              </w:rPr>
              <w:t>91.00%</w:t>
            </w:r>
          </w:p>
        </w:tc>
      </w:tr>
    </w:tbl>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2、绩效再评价情况分析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（1）政策效应指标（45分）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从评价得分情况看，此项评价满分为45分，再评价得分46分(占该项满分值的102.22%)，具体分析如下：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①财政资金放大效果（15分）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撬动社会资本情况：截至2022年末，科力北方基金累计实缴到位160,000.00万元，其中：引导基金实缴到位40,000.00万元。经计算，子基金累计实缴总规模/引导基金对该子基金累计投资金额比率为：160,000/40,000=4。根据绩效评价指标体系评分标准，此项得分处于“≥4”分段，此项评价得分为10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b.引导社会资本情况：根据科力北方基金管理机构披露：科力北方基金对外投资项目2022年度当期累计获得再融资金额8,847万元（其中：新区内5,580万元、新区外3,267万元）。</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28" w:lineRule="exact"/>
        <w:ind w:left="650" w:leftChars="0"/>
        <w:textAlignment w:val="baseline"/>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spacing w:val="8"/>
          <w:sz w:val="29"/>
          <w:szCs w:val="29"/>
          <w:highlight w:val="none"/>
          <w:lang w:val="en-US" w:eastAsia="zh-CN"/>
        </w:rPr>
        <w:t xml:space="preserve">                                         </w:t>
      </w:r>
      <w:r>
        <w:rPr>
          <w:rFonts w:hint="eastAsia" w:ascii="仿宋" w:hAnsi="仿宋" w:eastAsia="仿宋" w:cs="仿宋"/>
          <w:i w:val="0"/>
          <w:iCs w:val="0"/>
          <w:snapToGrid w:val="0"/>
          <w:color w:val="000000"/>
          <w:kern w:val="0"/>
          <w:sz w:val="21"/>
          <w:szCs w:val="21"/>
          <w:u w:val="none"/>
          <w:lang w:val="en-US" w:eastAsia="zh-CN" w:bidi="ar"/>
        </w:rPr>
        <w:t>单位：万元</w:t>
      </w:r>
    </w:p>
    <w:tbl>
      <w:tblPr>
        <w:tblStyle w:val="11"/>
        <w:tblW w:w="4998"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89"/>
        <w:gridCol w:w="4248"/>
        <w:gridCol w:w="2316"/>
        <w:gridCol w:w="127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04"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序号</w:t>
            </w:r>
          </w:p>
        </w:tc>
        <w:tc>
          <w:tcPr>
            <w:tcW w:w="2491"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项目名称</w:t>
            </w:r>
          </w:p>
        </w:tc>
        <w:tc>
          <w:tcPr>
            <w:tcW w:w="1358"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融资方式</w:t>
            </w:r>
          </w:p>
        </w:tc>
        <w:tc>
          <w:tcPr>
            <w:tcW w:w="746"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融资金额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04"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1</w:t>
            </w:r>
          </w:p>
        </w:tc>
        <w:tc>
          <w:tcPr>
            <w:tcW w:w="2491"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哈尔滨安天科技集团股份有限公司</w:t>
            </w:r>
          </w:p>
        </w:tc>
        <w:tc>
          <w:tcPr>
            <w:tcW w:w="1358"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债权（银行贷款）</w:t>
            </w:r>
          </w:p>
        </w:tc>
        <w:tc>
          <w:tcPr>
            <w:tcW w:w="746"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5580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04"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w:t>
            </w:r>
          </w:p>
        </w:tc>
        <w:tc>
          <w:tcPr>
            <w:tcW w:w="2491"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北京友友天宇系统技术有限公司</w:t>
            </w:r>
          </w:p>
        </w:tc>
        <w:tc>
          <w:tcPr>
            <w:tcW w:w="1358"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债权（银行贷款）</w:t>
            </w:r>
          </w:p>
        </w:tc>
        <w:tc>
          <w:tcPr>
            <w:tcW w:w="746"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3267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253" w:type="pct"/>
            <w:gridSpan w:val="3"/>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合计</w:t>
            </w:r>
          </w:p>
        </w:tc>
        <w:tc>
          <w:tcPr>
            <w:tcW w:w="746"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8847</w:t>
            </w:r>
          </w:p>
        </w:tc>
      </w:tr>
    </w:tbl>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经计算，子基金投资项目当期累计融资金额/财政实缴规模比率为：0.56/4=0.14（该指标应以新区内项目为准）。根据绩效评价指标体系评分标准，此项得分处于“&gt;0且&lt;0.5”分段，此项评价得分为3分。</w:t>
      </w:r>
    </w:p>
    <w:p>
      <w:pPr>
        <w:keepNext w:val="0"/>
        <w:keepLines w:val="0"/>
        <w:pageBreakBefore w:val="0"/>
        <w:widowControl w:val="0"/>
        <w:wordWrap/>
        <w:overflowPunct/>
        <w:topLinePunct w:val="0"/>
        <w:bidi w:val="0"/>
        <w:spacing w:before="8" w:line="398" w:lineRule="auto"/>
        <w:ind w:left="25" w:right="7" w:firstLine="596"/>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②政策引导效果（20分）</w:t>
      </w:r>
    </w:p>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a.本地返投比例：截至2022年末，科力北方基金累计投资哈市新区项目7个，投资金额55,040.59万元。</w:t>
      </w:r>
    </w:p>
    <w:tbl>
      <w:tblPr>
        <w:tblStyle w:val="11"/>
        <w:tblW w:w="499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801"/>
        <w:gridCol w:w="4227"/>
        <w:gridCol w:w="2046"/>
        <w:gridCol w:w="14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0" w:hRule="atLeast"/>
        </w:trPr>
        <w:tc>
          <w:tcPr>
            <w:tcW w:w="470"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序号</w:t>
            </w:r>
          </w:p>
        </w:tc>
        <w:tc>
          <w:tcPr>
            <w:tcW w:w="2480"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项目名称</w:t>
            </w:r>
          </w:p>
        </w:tc>
        <w:tc>
          <w:tcPr>
            <w:tcW w:w="1200"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投资时间</w:t>
            </w:r>
          </w:p>
        </w:tc>
        <w:tc>
          <w:tcPr>
            <w:tcW w:w="849"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投资金额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1</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哈尔滨腾迈通用航空科技有限公司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2018年2月</w:t>
            </w:r>
          </w:p>
        </w:tc>
        <w:tc>
          <w:tcPr>
            <w:tcW w:w="849"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 xml:space="preserve">3,170.00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哈尔滨新光光电科技有限公司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2018年3月</w:t>
            </w:r>
          </w:p>
        </w:tc>
        <w:tc>
          <w:tcPr>
            <w:tcW w:w="849"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 xml:space="preserve">11,970.00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3</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哈尔滨天愈康复医疗机器人有限公司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2018年6月</w:t>
            </w:r>
          </w:p>
        </w:tc>
        <w:tc>
          <w:tcPr>
            <w:tcW w:w="849"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 xml:space="preserve">2,000.00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4</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哈尔滨海特卫星技术有限公司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2018年12月</w:t>
            </w:r>
          </w:p>
        </w:tc>
        <w:tc>
          <w:tcPr>
            <w:tcW w:w="849"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 xml:space="preserve">900.00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5</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哈尔滨安天科技集团股份有限公司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2018年9月</w:t>
            </w:r>
          </w:p>
        </w:tc>
        <w:tc>
          <w:tcPr>
            <w:tcW w:w="849"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snapToGrid w:val="0"/>
                <w:color w:val="auto"/>
                <w:kern w:val="0"/>
                <w:sz w:val="21"/>
                <w:szCs w:val="21"/>
                <w:u w:val="none"/>
                <w:lang w:val="en-US" w:eastAsia="zh-CN" w:bidi="ar"/>
              </w:rPr>
            </w:pPr>
            <w:r>
              <w:rPr>
                <w:rFonts w:hint="eastAsia" w:ascii="仿宋" w:hAnsi="仿宋" w:eastAsia="仿宋" w:cs="仿宋"/>
                <w:i w:val="0"/>
                <w:iCs w:val="0"/>
                <w:snapToGrid w:val="0"/>
                <w:color w:val="auto"/>
                <w:kern w:val="0"/>
                <w:sz w:val="21"/>
                <w:szCs w:val="21"/>
                <w:highlight w:val="none"/>
                <w:u w:val="none"/>
                <w:shd w:val="clear"/>
                <w:lang w:val="en-US" w:eastAsia="zh-CN" w:bidi="ar"/>
              </w:rPr>
              <w:t>27,000.59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6</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哈尔滨科能熔敷科技有限公司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2018年9月</w:t>
            </w:r>
          </w:p>
        </w:tc>
        <w:tc>
          <w:tcPr>
            <w:tcW w:w="849"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snapToGrid w:val="0"/>
                <w:color w:val="000000"/>
                <w:kern w:val="0"/>
                <w:sz w:val="21"/>
                <w:szCs w:val="21"/>
                <w:u w:val="none"/>
                <w:lang w:val="en-US" w:eastAsia="zh-CN" w:bidi="ar"/>
              </w:rPr>
            </w:pPr>
            <w:r>
              <w:rPr>
                <w:rFonts w:hint="eastAsia" w:ascii="仿宋" w:hAnsi="仿宋" w:eastAsia="仿宋" w:cs="仿宋"/>
                <w:i w:val="0"/>
                <w:iCs w:val="0"/>
                <w:snapToGrid w:val="0"/>
                <w:color w:val="000000"/>
                <w:kern w:val="0"/>
                <w:sz w:val="21"/>
                <w:szCs w:val="21"/>
                <w:u w:val="none"/>
                <w:lang w:val="en-US" w:eastAsia="zh-CN" w:bidi="ar"/>
              </w:rPr>
              <w:t xml:space="preserve">8,000.00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7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7</w:t>
            </w:r>
          </w:p>
        </w:tc>
        <w:tc>
          <w:tcPr>
            <w:tcW w:w="248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哈尔滨工大卫星技术有限公司</w:t>
            </w:r>
          </w:p>
        </w:tc>
        <w:tc>
          <w:tcPr>
            <w:tcW w:w="1200"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2021年12月</w:t>
            </w:r>
          </w:p>
        </w:tc>
        <w:tc>
          <w:tcPr>
            <w:tcW w:w="849"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 xml:space="preserve">2,000.00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trPr>
        <w:tc>
          <w:tcPr>
            <w:tcW w:w="4150" w:type="pct"/>
            <w:gridSpan w:val="3"/>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center"/>
              <w:textAlignment w:val="top"/>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合计</w:t>
            </w:r>
          </w:p>
        </w:tc>
        <w:tc>
          <w:tcPr>
            <w:tcW w:w="849" w:type="pct"/>
            <w:tcBorders>
              <w:tl2br w:val="nil"/>
              <w:tr2bl w:val="nil"/>
            </w:tcBorders>
            <w:shd w:val="clear" w:color="auto" w:fill="auto"/>
            <w:vAlign w:val="top"/>
          </w:tcPr>
          <w:p>
            <w:pPr>
              <w:keepNext w:val="0"/>
              <w:keepLines w:val="0"/>
              <w:pageBreakBefore w:val="0"/>
              <w:widowControl w:val="0"/>
              <w:suppressLineNumbers w:val="0"/>
              <w:wordWrap/>
              <w:overflowPunct/>
              <w:topLinePunct w:val="0"/>
              <w:bidi w:val="0"/>
              <w:jc w:val="right"/>
              <w:textAlignment w:val="top"/>
              <w:rPr>
                <w:rFonts w:hint="eastAsia" w:ascii="仿宋" w:hAnsi="仿宋" w:eastAsia="仿宋" w:cs="仿宋"/>
                <w:b/>
                <w:bCs/>
                <w:i w:val="0"/>
                <w:iCs w:val="0"/>
                <w:snapToGrid w:val="0"/>
                <w:color w:val="000000"/>
                <w:kern w:val="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55,040.59</w:t>
            </w:r>
          </w:p>
        </w:tc>
      </w:tr>
    </w:tbl>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经计算，子基金累计投资在哈市新区内的金额/引导基金对该子基金累计投资金额比率为：55,040.59/40,000=1.38 。</w:t>
      </w:r>
    </w:p>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根据绩效评价指标体系评分标准，此项得分处于“子基金设立超过3年仍处于投资期内的≥1且&lt;1.5”分段，此项评价得分为6分。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基金投向：截至2022年末，科力北方基金累计对外投资项目10个，投资总金额67,773.92万元，其中：高端装备制造领域项目7个，投资金额31,873.33万元；新材料领域项目1个，投资金额5,900.00万元；电子信息技术领域项目2个，投资金额30,000.59万元，均符合基金合伙协议约定的投资领域。</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经计算，子基金投资在基金合伙协议约定的投资领域的金额/该子基金累计投资金额比率为：67,773.92/67,773.92=100%。</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根据绩效评价指标体系评分标准，此项得分处于“≥80%”分段，此项评价得分为10分。</w:t>
      </w:r>
    </w:p>
    <w:p>
      <w:pPr>
        <w:keepNext w:val="0"/>
        <w:keepLines w:val="0"/>
        <w:pageBreakBefore w:val="0"/>
        <w:widowControl w:val="0"/>
        <w:wordWrap/>
        <w:overflowPunct/>
        <w:topLinePunct w:val="0"/>
        <w:bidi w:val="0"/>
        <w:spacing w:before="8" w:line="398" w:lineRule="auto"/>
        <w:ind w:left="25" w:right="7" w:firstLine="596"/>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③社会效益（10分）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a.被投企业就业人数：科力北方基金管理机构披露2022年末科力北方基金被投企业就业人数达1163人，较投资时点企业就业人数（897人）增长266人。</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根据绩效评价指标体系评分标准，此项得分处于“&gt;50”分段，此项评价得分为5分。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b.被投企业营业收入:截至2022年末，科力北方基金被投企业营业收入达78,283.39万元，较投资时点企业营业收入（52,773.40万元）增长25,509.99万元，增长率为48.34%。</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根据绩效评价指标体系评分标准，此项得分处于“＞0且≤0.5”分段，此项评价得分为3分。</w:t>
      </w:r>
    </w:p>
    <w:p>
      <w:pPr>
        <w:keepNext w:val="0"/>
        <w:keepLines w:val="0"/>
        <w:pageBreakBefore w:val="0"/>
        <w:widowControl w:val="0"/>
        <w:wordWrap/>
        <w:overflowPunct/>
        <w:topLinePunct w:val="0"/>
        <w:bidi w:val="0"/>
        <w:spacing w:before="8" w:line="398" w:lineRule="auto"/>
        <w:ind w:left="25" w:right="7" w:firstLine="596"/>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④激励性指标（0.20分）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a.招商引资方面：截至2022年末，科力北方基金吸引省外资金投资科能熔敷项目1,810万元、投资工大卫星项目6,000万元、投资安天科技项目150,500.00万元。</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根据绩效评价指标体系评分标准，此项得分依据“吸引省外资金投资哈尔滨市新区内基金已投资项目的数量”，评价加3分。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b.被投资企业上市方面：截至2022年末，科力北方基金所投资新光光电项目于2019年7月首批在科创板上市，所投资科能熔敷项目于2022年9月在新三板挂牌。</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根据绩效评价指标体系评分标准，此项得分依据“子基金投资的企业在境内外新上市企业的数量”，评价加6分。</w:t>
      </w:r>
    </w:p>
    <w:p>
      <w:pPr>
        <w:keepNext w:val="0"/>
        <w:keepLines w:val="0"/>
        <w:pageBreakBefore w:val="0"/>
        <w:widowControl w:val="0"/>
        <w:wordWrap/>
        <w:overflowPunct/>
        <w:topLinePunct w:val="0"/>
        <w:bidi w:val="0"/>
        <w:spacing w:before="8" w:line="398" w:lineRule="auto"/>
        <w:ind w:left="25" w:right="7" w:firstLine="596"/>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（2）投资运营指标（35分）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从评价得分情况来看，该项指标满分35分，再评价得分为30分（占该项总分值85.71%），具体分析如下：</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①设立（20分）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a.设立规范性：引导基金对子基金出资经过产业引导基金投委会审议决策，引导基金出资不早于社会资本，引导基金对子基金出资持股25%。</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根据绩效评价指标体系评分标准，此项评价得分为4分。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b.基金设立进度：科力北方基金取得引导基金投资决策批复后一个月内，于2018年3月完成了基金首期资金募集，快速落实政府下达的协助组建产业基金要求。</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根据绩效评价指标体系评分标准，此项评价得分为6分。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c.基金出资进度：2020年1月16日签署的《国家科技成果转化引导基金创业投资子基金有限合伙协议》3.2出资时间：各方合伙人出资应当在2年内分期实缴。其中，在2019年12月31日前完成第一期实缴人民币104,000.00万元（65%），在2020年10月31日前完成第二期实缴人民币56,000.00万元（35%)。经查，2019年12月31日前缴78,000.00万元，2020年12月31日前缴146,000.00万元。</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根据绩效评价指标体系评分标准，此项评价得分为3分。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d.基金托管:2018年2月12日科力北方基金与招商银行股份有限公司哈尔滨分行签订资金托管协议。</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e.投资规范性：科力北方基金最高单个项目投资额27,000.59万元，未超过基金认缴规模的20%（32,000万元），符合《哈尔滨市产业引导基金及哈尔滨新区产业引导基金设立方案》相关要求。</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keepNext w:val="0"/>
        <w:keepLines w:val="0"/>
        <w:pageBreakBefore w:val="0"/>
        <w:widowControl w:val="0"/>
        <w:wordWrap/>
        <w:overflowPunct/>
        <w:topLinePunct w:val="0"/>
        <w:bidi w:val="0"/>
        <w:spacing w:before="8" w:line="398" w:lineRule="auto"/>
        <w:ind w:left="25" w:right="7" w:firstLine="596"/>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②管理人综合评价（15分）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a.管理人情况：哈尔滨科力创业投资管理有限公司现有员工13人，其中：12人具备基金从业资格；12人具备3年以上资产管理工作经验。管理团队在管基金9支，管理规模合计256,000.00万元。</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风控合规:科力北方基金管理机构制定了基金运行管理相关制度7项，包括但不限于防范利益冲突制度、信息披露制度、投资者适当性管理办法等，因未建立项目退出管理机制，运行管理制度尚不够全面完善。基金下设投资决策委员会，具备市场化的投决机制。基金管理机构能够按照《合伙协议》相关要求，就基金及被投企业运行情况及时向合伙人进行披露。</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c.登记报送情况：科力北方基金管理人能够及时、规范、真实准确完成中国证券投资基金业协会私募投资基金备案、全国政府出资产业投资基金信用信息登记系统完成备案及绩效评价等相关信息登记报送事项。</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根据绩效评价指标体系评分标准，此项评价得分为3分。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d.信用情况：根据科力北方基金管理机构披露：基金管理人及其高级管理人员、从业人员不存在违反法律、法规的行为，不存在被纳入全国信用信息共享平台失信名单，未受到过监管机构的行政处罚。</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left="650" w:lef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根据绩效评价指标体系评分标准，此项评价得分为3分。</w:t>
      </w:r>
    </w:p>
    <w:p>
      <w:pPr>
        <w:keepNext w:val="0"/>
        <w:keepLines w:val="0"/>
        <w:pageBreakBefore w:val="0"/>
        <w:widowControl w:val="0"/>
        <w:wordWrap/>
        <w:overflowPunct/>
        <w:topLinePunct w:val="0"/>
        <w:bidi w:val="0"/>
        <w:spacing w:before="8" w:line="398" w:lineRule="auto"/>
        <w:ind w:left="25" w:right="7" w:firstLine="596"/>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（3）管理效能（20分）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从评价得分情况来看，该项指标满分20分，再评价得分为15分（占该项总分值75.00%），具体分析如下：</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①投资时效：截至2022年末，科力北方基金累计对外投资67,773.93万元，基金可投资总额按照基金实缴出资额的90%计算：144,000.00万元。</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经计算，子基金累计投资金额/子基金可投资总额比率为：67,773.93/144,000.00*100%=47.07%。</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根据绩效评价指标体系评分标准，此项得分处于“子基金设立超过3年仍处于投资期内的≥40%且＜60%”分段，该项评价得分为6分。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基金业绩：科力北方基金2022年末所有者权益为142,820.28万元，较年初时所有者权益157,371.96万元减少14,551.68万元。截至2022年末，科力北方基金仍处于投资期阶段，大部分投资项目尚未退出，投资收益尚未体现，所有者权益下降主要原因系期间计提2022年度管理费3,200万元、对合伙人进行分配托管账户孳息13,133.60万元。在排除基金计提管理费及资金分配等影响因素后，经计算，科力北方基金资本保值率为：（142,820.28+3,200+13,133.60）/157,371.96=1.01。</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根据绩效评价指标体系评分标准，此项得分处于“子基金处于投资期内≥1且＜1.2”分段，该项评价得分为5分。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③资金使用：科力北方基金已将基金资产委托商业银行进行托管，且闲置资金只投资于银行存款，资金安全性可靠，符合《哈尔滨市产业引导基金及哈尔滨新区产业引导基金设立方案》相关要求。</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根据绩效评价指标体系评分标准，此项评价得分为4分。</w:t>
      </w:r>
    </w:p>
    <w:p>
      <w:pPr>
        <w:pStyle w:val="29"/>
        <w:keepNext w:val="0"/>
        <w:keepLines w:val="0"/>
        <w:pageBreakBefore w:val="0"/>
        <w:widowControl w:val="0"/>
        <w:numPr>
          <w:ilvl w:val="0"/>
          <w:numId w:val="0"/>
        </w:numPr>
        <w:wordWrap/>
        <w:overflowPunct/>
        <w:topLinePunct w:val="0"/>
        <w:bidi w:val="0"/>
        <w:ind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(二)商纵秋歌基金</w:t>
      </w:r>
    </w:p>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1、绩效再评价综合评分情况</w:t>
      </w:r>
    </w:p>
    <w:p>
      <w:pPr>
        <w:keepNext w:val="0"/>
        <w:keepLines w:val="0"/>
        <w:pageBreakBefore w:val="0"/>
        <w:widowControl w:val="0"/>
        <w:wordWrap/>
        <w:overflowPunct/>
        <w:topLinePunct w:val="0"/>
        <w:bidi w:val="0"/>
        <w:spacing w:before="173" w:line="397" w:lineRule="auto"/>
        <w:ind w:left="28" w:right="146" w:firstLine="61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商纵秋歌基金绩效评分为61分，绩效评价等级为“及格”，一级指标具体得分情况详见下表：</w:t>
      </w:r>
    </w:p>
    <w:tbl>
      <w:tblPr>
        <w:tblStyle w:val="31"/>
        <w:tblW w:w="884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5"/>
        <w:gridCol w:w="2210"/>
        <w:gridCol w:w="2210"/>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15"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一级指标</w:t>
            </w:r>
          </w:p>
        </w:tc>
        <w:tc>
          <w:tcPr>
            <w:tcW w:w="2210"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指标分值</w:t>
            </w:r>
          </w:p>
        </w:tc>
        <w:tc>
          <w:tcPr>
            <w:tcW w:w="2210"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评价得分</w:t>
            </w:r>
          </w:p>
        </w:tc>
        <w:tc>
          <w:tcPr>
            <w:tcW w:w="2214"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政策效应</w:t>
            </w:r>
          </w:p>
        </w:tc>
        <w:tc>
          <w:tcPr>
            <w:tcW w:w="2210"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45</w:t>
            </w:r>
          </w:p>
        </w:tc>
        <w:tc>
          <w:tcPr>
            <w:tcW w:w="2210"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30</w:t>
            </w:r>
          </w:p>
        </w:tc>
        <w:tc>
          <w:tcPr>
            <w:tcW w:w="2214" w:type="dxa"/>
            <w:tcBorders>
              <w:tl2br w:val="nil"/>
              <w:tr2bl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投资运营</w:t>
            </w:r>
          </w:p>
        </w:tc>
        <w:tc>
          <w:tcPr>
            <w:tcW w:w="2210"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35</w:t>
            </w:r>
          </w:p>
        </w:tc>
        <w:tc>
          <w:tcPr>
            <w:tcW w:w="2210"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w:t>
            </w:r>
          </w:p>
        </w:tc>
        <w:tc>
          <w:tcPr>
            <w:tcW w:w="2214" w:type="dxa"/>
            <w:tcBorders>
              <w:tl2br w:val="nil"/>
              <w:tr2bl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管理效能</w:t>
            </w:r>
          </w:p>
        </w:tc>
        <w:tc>
          <w:tcPr>
            <w:tcW w:w="2210"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w:t>
            </w:r>
          </w:p>
        </w:tc>
        <w:tc>
          <w:tcPr>
            <w:tcW w:w="2210" w:type="dxa"/>
            <w:tcBorders>
              <w:tl2br w:val="nil"/>
              <w:tr2bl w:val="nil"/>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2214" w:type="dxa"/>
            <w:tcBorders>
              <w:tl2br w:val="nil"/>
              <w:tr2bl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215"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合计</w:t>
            </w:r>
          </w:p>
        </w:tc>
        <w:tc>
          <w:tcPr>
            <w:tcW w:w="2210"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100</w:t>
            </w:r>
          </w:p>
        </w:tc>
        <w:tc>
          <w:tcPr>
            <w:tcW w:w="2210" w:type="dxa"/>
            <w:tcBorders>
              <w:tl2br w:val="nil"/>
              <w:tr2bl w:val="nil"/>
            </w:tcBorders>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61</w:t>
            </w:r>
          </w:p>
        </w:tc>
        <w:tc>
          <w:tcPr>
            <w:tcW w:w="2214" w:type="dxa"/>
            <w:tcBorders>
              <w:tl2br w:val="nil"/>
              <w:tr2bl w:val="nil"/>
            </w:tcBorders>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61.00%</w:t>
            </w:r>
          </w:p>
        </w:tc>
      </w:tr>
    </w:tbl>
    <w:p>
      <w:pPr>
        <w:keepNext w:val="0"/>
        <w:keepLines w:val="0"/>
        <w:pageBreakBefore w:val="0"/>
        <w:widowControl w:val="0"/>
        <w:wordWrap/>
        <w:overflowPunct/>
        <w:topLinePunct w:val="0"/>
        <w:bidi w:val="0"/>
        <w:spacing w:line="106" w:lineRule="exact"/>
        <w:rPr>
          <w:rFonts w:hint="eastAsia" w:ascii="仿宋" w:hAnsi="仿宋" w:eastAsia="仿宋" w:cs="仿宋"/>
          <w:highlight w:val="yellow"/>
        </w:rPr>
      </w:pPr>
    </w:p>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2、绩效再评价情况分析</w:t>
      </w:r>
    </w:p>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（1）政策效应指标（45分）</w:t>
      </w:r>
    </w:p>
    <w:p>
      <w:pPr>
        <w:keepNext w:val="0"/>
        <w:keepLines w:val="0"/>
        <w:pageBreakBefore w:val="0"/>
        <w:widowControl w:val="0"/>
        <w:wordWrap/>
        <w:overflowPunct/>
        <w:topLinePunct w:val="0"/>
        <w:bidi w:val="0"/>
        <w:spacing w:before="197" w:line="356" w:lineRule="auto"/>
        <w:ind w:left="33" w:right="382" w:firstLine="604"/>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从评价得分情况看，此项评价满分为45分，再评价得分30分(占该项满分值的66.67%)，具体分析如下：</w:t>
      </w:r>
    </w:p>
    <w:p>
      <w:pPr>
        <w:pStyle w:val="29"/>
        <w:keepNext w:val="0"/>
        <w:keepLines w:val="0"/>
        <w:pageBreakBefore w:val="0"/>
        <w:widowControl w:val="0"/>
        <w:numPr>
          <w:ilvl w:val="0"/>
          <w:numId w:val="0"/>
        </w:numPr>
        <w:wordWrap/>
        <w:overflowPunct/>
        <w:topLinePunct w:val="0"/>
        <w:bidi w:val="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①财政资金放大效果（15分）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撬动社会资本情况：截至2022年末，商纵秋歌基金实缴到位12,000.00万元，其中：引导基金实缴到位3,000.00万元。经计算，子基金累计实缴总规模/引导基金对该子基金累计投资金额比率为：12,000/3,000=4。根据绩效评价指标体系评分标准，此项得分处于“≥4”分段，此项评价得分为10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b.引导社会资本情况：根据商纵秋歌基金管理机构披露：商纵秋歌基金对外投资项目2022年度当期未获得再融资。根据绩效评价指标体系评分标准，此项得分处于“＝0”分段，此项评价得分为0分。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②政策引导效果（20分）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a.本地返投比例：截至2022年末，商纵秋歌基金累计投资我市新区项目3个，投资金额6811万元。</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2"/>
        <w:gridCol w:w="4861"/>
        <w:gridCol w:w="1816"/>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序号</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项目名称</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投资时间</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投资金额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1</w:t>
            </w:r>
          </w:p>
        </w:tc>
        <w:tc>
          <w:tcPr>
            <w:tcW w:w="2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哈尔滨海云供应链管理有限公司</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2018年11月</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w:t>
            </w:r>
          </w:p>
        </w:tc>
        <w:tc>
          <w:tcPr>
            <w:tcW w:w="2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哈尔滨尚铭企业管理有限公司</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2018年11月</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3</w:t>
            </w:r>
          </w:p>
        </w:tc>
        <w:tc>
          <w:tcPr>
            <w:tcW w:w="2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哈尔滨惠贸仓储服务有限公司</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2018年11月</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snapToGrid w:val="0"/>
                <w:color w:val="000000"/>
                <w:kern w:val="0"/>
                <w:sz w:val="21"/>
                <w:szCs w:val="21"/>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9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合计</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wordWrap/>
              <w:overflowPunct/>
              <w:topLinePunct w:val="0"/>
              <w:bidi w:val="0"/>
              <w:jc w:val="center"/>
              <w:rPr>
                <w:rFonts w:hint="eastAsia" w:ascii="仿宋" w:hAnsi="仿宋" w:eastAsia="仿宋" w:cs="仿宋"/>
                <w:b/>
                <w:bCs/>
                <w:i w:val="0"/>
                <w:iCs w:val="0"/>
                <w:color w:val="000000"/>
                <w:sz w:val="21"/>
                <w:szCs w:val="21"/>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snapToGrid w:val="0"/>
                <w:color w:val="000000"/>
                <w:kern w:val="0"/>
                <w:sz w:val="21"/>
                <w:szCs w:val="21"/>
                <w:u w:val="none"/>
                <w:lang w:val="en-US" w:eastAsia="zh-CN" w:bidi="ar"/>
              </w:rPr>
              <w:t>6811</w:t>
            </w:r>
          </w:p>
        </w:tc>
      </w:tr>
    </w:tbl>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经计算，子基金累计投资在哈尔滨市新区内的金额/引导基金对该子基金累计投资金额为：6,811/3,000=2.27。</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根据绩效评价指标体系评分标准，此项得分处于“子基金投资期结束后≥2”分段，此项评价得分为10分。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基金投向：截至2022年末，商纵秋歌基金累计对外投资项目5个，投资总金额11,351万元，其中：服务贸易领域项目4个，投资金额9,211万元；信息技术领域项目1个，投资金额2,140万元，均符合基金合伙协议约定的投资领域。</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综上，经计算子基金投资在基金合伙协议约定的投资领域的金额/该子基金累计投资金额的比率为100%。</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根据绩效评价指标体系评分标准，此项得分处于“≥80%”分段，此项评价得分为10分。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③社会效益（10分）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截至2022年末，基金所投项目运行困难，处于停滞经营状态。</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④激励性指标（0.20分）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a.招商引资方面：截至2022年末，商纵秋歌基金尚未有符合该项招商引资指标认定标准的相关情形。根据绩效评价指标体系评分标准，评价不存在加分。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b.被投资企业上市方面：截至2022年末，商纵秋歌基金尚未有所投项目上市。根据绩效评价指标体系评分标准，评价不存在加分。</w:t>
      </w:r>
    </w:p>
    <w:p>
      <w:pPr>
        <w:keepNext w:val="0"/>
        <w:keepLines w:val="0"/>
        <w:pageBreakBefore w:val="0"/>
        <w:widowControl w:val="0"/>
        <w:kinsoku w:val="0"/>
        <w:wordWrap/>
        <w:overflowPunct/>
        <w:topLinePunct w:val="0"/>
        <w:autoSpaceDE w:val="0"/>
        <w:autoSpaceDN w:val="0"/>
        <w:bidi w:val="0"/>
        <w:adjustRightInd w:val="0"/>
        <w:snapToGrid w:val="0"/>
        <w:spacing w:before="197" w:line="356" w:lineRule="auto"/>
        <w:ind w:left="33" w:right="382" w:firstLine="604"/>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（2）投资运营指标（35分）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从评价得分情况来看，该项指标满分35分，再评价得分为21分（占该项总分值60.00%），具体分析如下：</w:t>
      </w:r>
    </w:p>
    <w:p>
      <w:pPr>
        <w:keepNext w:val="0"/>
        <w:keepLines w:val="0"/>
        <w:pageBreakBefore w:val="0"/>
        <w:widowControl w:val="0"/>
        <w:kinsoku w:val="0"/>
        <w:wordWrap/>
        <w:overflowPunct/>
        <w:topLinePunct w:val="0"/>
        <w:autoSpaceDE w:val="0"/>
        <w:autoSpaceDN w:val="0"/>
        <w:bidi w:val="0"/>
        <w:adjustRightInd w:val="0"/>
        <w:snapToGrid w:val="0"/>
        <w:spacing w:before="197" w:line="356" w:lineRule="auto"/>
        <w:ind w:left="33" w:right="382" w:firstLine="604"/>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①设立（20分）</w:t>
      </w:r>
    </w:p>
    <w:p>
      <w:pPr>
        <w:keepNext w:val="0"/>
        <w:keepLines w:val="0"/>
        <w:pageBreakBefore w:val="0"/>
        <w:widowControl w:val="0"/>
        <w:kinsoku w:val="0"/>
        <w:wordWrap/>
        <w:overflowPunct/>
        <w:topLinePunct w:val="0"/>
        <w:autoSpaceDE w:val="0"/>
        <w:autoSpaceDN w:val="0"/>
        <w:bidi w:val="0"/>
        <w:adjustRightInd w:val="0"/>
        <w:snapToGrid w:val="0"/>
        <w:spacing w:before="197" w:line="356" w:lineRule="auto"/>
        <w:ind w:left="33" w:right="382" w:firstLine="604"/>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a.设立规范性：引导基金对子基金出资经过产业引导基金投委会审议决策，引导基金出资不早于社会资本，引导基金对子基金出资持股25%。</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根据绩效评价指标体系评分标准，此项评价得分为4分。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b.基金设立进度：商纵秋歌基金取得引导基金投资决策批复8个月内，于2018年10月完成了基金首期资金募集。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根据绩效评价指标体系评分标准，此项得分处于“＞6个月且≤9个月”分段，此项评价得分为2分。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c.基金出资进度：商纵秋歌基金于2018年11月30日前完成了首期出资，但截至2022年末，商纵秋歌基金实缴仍未达到全部认缴出资总额，且基金已进入退出期阶段，不再进行二期资金募集。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根据绩效评价指标体系评分标准，此项评价得分为3分。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d.基金托管:2018年9月1日商纵秋歌基金与兴业银行股份有限公司哈尔滨分行签订资金托管协议。</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e.投资规范性：商纵秋歌基金最高单个项目投资额2,400.00万元，未超过基金认缴规模的20%（8,000.00万元），符合《哈尔滨市产业引导基金及哈尔滨新区产业引导基金设立方案》相关要求。</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②管理人综合评价（15分）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管理人情况：基金管理机构北京纵横天润管理公司现有员工8人，其中：8人具备基金从业资格；3人具备3年以上资产管理工作经验。管理团队在管基金1支，管理规模合计40,000.00万元。根据商纵秋歌基金管理机构披露：2022年度，商纵秋歌基金管理机构核心团队成员未发生变更。但结合基金实际运行情况，基金部分团队成员工作精力重心已调整，未集中于商纵秋歌基金的管理运行。</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风控合规:商纵秋歌基金管理机构制定了基金运行管理相关制度19项，包括但不限于投资业务控制制度、防范内幕交易、利益冲突的投资交易制度、内部控制制度、投资决策管理办法、投后管理制度、风险管理办法等，管理制度较为完善。基金下设投资决策委员会，具备市场化的投决机制。基金管理机构未能够按照《合伙协议》相关要求，就基金及被投企业运行情况及时向合伙人进行披露。</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根据绩效评价指标体系评分标准，此项评价得分为2分。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c.登记报送情况：商纵秋歌基金管理人已完成中国证券投资基金业协会私募投资基金备案，在全国政府出资产业投资基金信用信息登记系统完成备案及绩效评价时，存在报送相关信息登记事项缓慢、不齐备现象。</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根据绩效评价指标体系评分标准，此项评价得分为1分。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d.信用情况：根据商纵秋歌基金管理机构披露：基金管理人及其高级管理人员、从业人员不存在违反法律、法规的行为，不存在被纳入全国信用信息共享平台失信名单，未受到过监管机构的行政处罚。</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根据绩效评价指标体系评分标准，此项评价得分为3分。</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197" w:line="356" w:lineRule="auto"/>
        <w:ind w:left="637" w:leftChars="0" w:right="382" w:right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（3）管理效能（20分）</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197" w:line="356" w:lineRule="auto"/>
        <w:ind w:right="382" w:rightChars="0"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从评价得分情况来看，该项指标满分20分，再评价得分为10分（占该项总分值50.00%），具体分析如下：</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①投资时效：截至2022年末，商纵秋歌基金已进入退出期阶段，累计对外投资11,351万元，基金可投资总额按照基金实缴出资额的90%计算为10,800万元。</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经计算，子基金累计投资金额/子基金可投资总额比率为：11,351/10,800*100%=105.10%。</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根据绩效评价指标体系评分标准，此项得分处于“投资期结束后，且基金认缴出资未全部实缴到位：≥90%”分段，此项评价得分为5分。</w:t>
      </w:r>
    </w:p>
    <w:p>
      <w:pPr>
        <w:keepNext w:val="0"/>
        <w:keepLines w:val="0"/>
        <w:pageBreakBefore w:val="0"/>
        <w:widowControl w:val="0"/>
        <w:kinsoku/>
        <w:wordWrap/>
        <w:overflowPunct/>
        <w:topLinePunct w:val="0"/>
        <w:autoSpaceDE/>
        <w:autoSpaceDN/>
        <w:bidi w:val="0"/>
        <w:adjustRightInd/>
        <w:snapToGrid/>
        <w:spacing w:line="588"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②基金业绩：商纵秋歌基金2022年末所有者权益为11,423.82万元，较年初时所有者权益11,423.61万元增加0.21万元。</w:t>
      </w:r>
    </w:p>
    <w:p>
      <w:pPr>
        <w:keepNext w:val="0"/>
        <w:keepLines w:val="0"/>
        <w:pageBreakBefore w:val="0"/>
        <w:widowControl w:val="0"/>
        <w:kinsoku/>
        <w:wordWrap/>
        <w:overflowPunct/>
        <w:topLinePunct w:val="0"/>
        <w:autoSpaceDE/>
        <w:autoSpaceDN/>
        <w:bidi w:val="0"/>
        <w:adjustRightInd/>
        <w:snapToGrid/>
        <w:spacing w:line="588"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截至2022年末，商纵秋歌基金投资项目尚未退出，投资收益及亏损尚未体现，同时基金未计提2022年度管理费且未进行资金分配，故所有者权益基本无变化。</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经计算，商纵秋歌基金年末基金所有者权益/年初基金所有者权益引导基金比率为11,423.82元/11,423.61元=1。</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根据绩效评价指标体系评分标准，此项得分处于“≥0.9且＜1”分段，此项评价得分为1分。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③资金使用：商纵秋歌基金已将基金资产委托商业银行进行托管，且闲置资金只投资于银行存款，资金安全性可靠，符合《哈尔滨市产业引导基金及哈尔滨新区产业引导基金设立方案》相关要求。</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根据绩效评价指标体系评分标准，此项评价得分为4分。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(三)拾珍基金</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bookmarkStart w:id="12" w:name="_bookmark25"/>
      <w:bookmarkEnd w:id="12"/>
      <w:r>
        <w:rPr>
          <w:rFonts w:hint="eastAsia" w:ascii="仿宋" w:hAnsi="仿宋" w:eastAsia="仿宋" w:cs="仿宋"/>
          <w:kern w:val="2"/>
          <w:sz w:val="28"/>
          <w:szCs w:val="28"/>
          <w:lang w:val="en-US" w:eastAsia="zh-CN" w:bidi="ar-SA"/>
        </w:rPr>
        <w:t>1、绩效再评价综合评分情况</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拾珍基金绩效评分为66分，绩效评价等级为“及格”，一级指标具体得分情况详见下表：</w:t>
      </w:r>
    </w:p>
    <w:tbl>
      <w:tblPr>
        <w:tblStyle w:val="31"/>
        <w:tblW w:w="884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5"/>
        <w:gridCol w:w="2210"/>
        <w:gridCol w:w="2210"/>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7" w:line="337" w:lineRule="exact"/>
              <w:ind w:left="625"/>
              <w:rPr>
                <w:rFonts w:hint="eastAsia" w:ascii="仿宋" w:hAnsi="仿宋" w:eastAsia="仿宋" w:cs="仿宋"/>
                <w:color w:val="auto"/>
                <w:sz w:val="23"/>
                <w:szCs w:val="23"/>
                <w:highlight w:val="none"/>
              </w:rPr>
            </w:pPr>
            <w:r>
              <w:rPr>
                <w:rFonts w:hint="eastAsia" w:ascii="仿宋" w:hAnsi="仿宋" w:eastAsia="仿宋" w:cs="仿宋"/>
                <w:color w:val="auto"/>
                <w:spacing w:val="14"/>
                <w:position w:val="1"/>
                <w:sz w:val="23"/>
                <w:szCs w:val="23"/>
                <w:highlight w:val="none"/>
                <w14:textOutline w14:w="4358" w14:cap="sq" w14:cmpd="sng">
                  <w14:solidFill>
                    <w14:srgbClr w14:val="000000"/>
                  </w14:solidFill>
                  <w14:prstDash w14:val="solid"/>
                  <w14:bevel/>
                </w14:textOutline>
              </w:rPr>
              <w:t>一</w:t>
            </w:r>
            <w:r>
              <w:rPr>
                <w:rFonts w:hint="eastAsia" w:ascii="仿宋" w:hAnsi="仿宋" w:eastAsia="仿宋" w:cs="仿宋"/>
                <w:color w:val="auto"/>
                <w:spacing w:val="13"/>
                <w:position w:val="1"/>
                <w:sz w:val="23"/>
                <w:szCs w:val="23"/>
                <w:highlight w:val="none"/>
                <w14:textOutline w14:w="4358" w14:cap="sq" w14:cmpd="sng">
                  <w14:solidFill>
                    <w14:srgbClr w14:val="000000"/>
                  </w14:solidFill>
                  <w14:prstDash w14:val="solid"/>
                  <w14:bevel/>
                </w14:textOutline>
              </w:rPr>
              <w:t>级指标</w:t>
            </w:r>
          </w:p>
        </w:tc>
        <w:tc>
          <w:tcPr>
            <w:tcW w:w="2210" w:type="dxa"/>
            <w:tcBorders>
              <w:tl2br w:val="nil"/>
              <w:tr2bl w:val="nil"/>
            </w:tcBorders>
            <w:vAlign w:val="top"/>
          </w:tcPr>
          <w:p>
            <w:pPr>
              <w:keepNext w:val="0"/>
              <w:keepLines w:val="0"/>
              <w:pageBreakBefore w:val="0"/>
              <w:widowControl w:val="0"/>
              <w:wordWrap/>
              <w:overflowPunct/>
              <w:topLinePunct w:val="0"/>
              <w:bidi w:val="0"/>
              <w:spacing w:before="98" w:line="225" w:lineRule="auto"/>
              <w:ind w:left="611"/>
              <w:rPr>
                <w:rFonts w:hint="eastAsia" w:ascii="仿宋" w:hAnsi="仿宋" w:eastAsia="仿宋" w:cs="仿宋"/>
                <w:color w:val="auto"/>
                <w:sz w:val="23"/>
                <w:szCs w:val="23"/>
                <w:highlight w:val="none"/>
              </w:rPr>
            </w:pPr>
            <w:r>
              <w:rPr>
                <w:rFonts w:hint="eastAsia" w:ascii="仿宋" w:hAnsi="仿宋" w:eastAsia="仿宋" w:cs="仿宋"/>
                <w:color w:val="auto"/>
                <w:spacing w:val="18"/>
                <w:sz w:val="23"/>
                <w:szCs w:val="23"/>
                <w:highlight w:val="none"/>
                <w14:textOutline w14:w="4358" w14:cap="sq" w14:cmpd="sng">
                  <w14:solidFill>
                    <w14:srgbClr w14:val="000000"/>
                  </w14:solidFill>
                  <w14:prstDash w14:val="solid"/>
                  <w14:bevel/>
                </w14:textOutline>
              </w:rPr>
              <w:t>指</w:t>
            </w:r>
            <w:r>
              <w:rPr>
                <w:rFonts w:hint="eastAsia" w:ascii="仿宋" w:hAnsi="仿宋" w:eastAsia="仿宋" w:cs="仿宋"/>
                <w:color w:val="auto"/>
                <w:spacing w:val="16"/>
                <w:sz w:val="23"/>
                <w:szCs w:val="23"/>
                <w:highlight w:val="none"/>
                <w14:textOutline w14:w="4358" w14:cap="sq" w14:cmpd="sng">
                  <w14:solidFill>
                    <w14:srgbClr w14:val="000000"/>
                  </w14:solidFill>
                  <w14:prstDash w14:val="solid"/>
                  <w14:bevel/>
                </w14:textOutline>
              </w:rPr>
              <w:t>标分值</w:t>
            </w:r>
          </w:p>
        </w:tc>
        <w:tc>
          <w:tcPr>
            <w:tcW w:w="2210" w:type="dxa"/>
            <w:tcBorders>
              <w:tl2br w:val="nil"/>
              <w:tr2bl w:val="nil"/>
            </w:tcBorders>
            <w:vAlign w:val="top"/>
          </w:tcPr>
          <w:p>
            <w:pPr>
              <w:keepNext w:val="0"/>
              <w:keepLines w:val="0"/>
              <w:pageBreakBefore w:val="0"/>
              <w:widowControl w:val="0"/>
              <w:wordWrap/>
              <w:overflowPunct/>
              <w:topLinePunct w:val="0"/>
              <w:bidi w:val="0"/>
              <w:spacing w:before="98" w:line="225" w:lineRule="auto"/>
              <w:ind w:left="608"/>
              <w:rPr>
                <w:rFonts w:hint="eastAsia" w:ascii="仿宋" w:hAnsi="仿宋" w:eastAsia="仿宋" w:cs="仿宋"/>
                <w:color w:val="auto"/>
                <w:sz w:val="23"/>
                <w:szCs w:val="23"/>
                <w:highlight w:val="none"/>
              </w:rPr>
            </w:pPr>
            <w:r>
              <w:rPr>
                <w:rFonts w:hint="eastAsia" w:ascii="仿宋" w:hAnsi="仿宋" w:eastAsia="仿宋" w:cs="仿宋"/>
                <w:color w:val="auto"/>
                <w:spacing w:val="18"/>
                <w:sz w:val="23"/>
                <w:szCs w:val="23"/>
                <w:highlight w:val="none"/>
                <w14:textOutline w14:w="4358" w14:cap="sq" w14:cmpd="sng">
                  <w14:solidFill>
                    <w14:srgbClr w14:val="000000"/>
                  </w14:solidFill>
                  <w14:prstDash w14:val="solid"/>
                  <w14:bevel/>
                </w14:textOutline>
              </w:rPr>
              <w:t>评</w:t>
            </w:r>
            <w:r>
              <w:rPr>
                <w:rFonts w:hint="eastAsia" w:ascii="仿宋" w:hAnsi="仿宋" w:eastAsia="仿宋" w:cs="仿宋"/>
                <w:color w:val="auto"/>
                <w:spacing w:val="17"/>
                <w:sz w:val="23"/>
                <w:szCs w:val="23"/>
                <w:highlight w:val="none"/>
                <w14:textOutline w14:w="4358" w14:cap="sq" w14:cmpd="sng">
                  <w14:solidFill>
                    <w14:srgbClr w14:val="000000"/>
                  </w14:solidFill>
                  <w14:prstDash w14:val="solid"/>
                  <w14:bevel/>
                </w14:textOutline>
              </w:rPr>
              <w:t>价得分</w:t>
            </w:r>
          </w:p>
        </w:tc>
        <w:tc>
          <w:tcPr>
            <w:tcW w:w="2214" w:type="dxa"/>
            <w:tcBorders>
              <w:tl2br w:val="nil"/>
              <w:tr2bl w:val="nil"/>
            </w:tcBorders>
            <w:vAlign w:val="top"/>
          </w:tcPr>
          <w:p>
            <w:pPr>
              <w:keepNext w:val="0"/>
              <w:keepLines w:val="0"/>
              <w:pageBreakBefore w:val="0"/>
              <w:widowControl w:val="0"/>
              <w:wordWrap/>
              <w:overflowPunct/>
              <w:topLinePunct w:val="0"/>
              <w:bidi w:val="0"/>
              <w:spacing w:before="98" w:line="225" w:lineRule="auto"/>
              <w:ind w:left="740"/>
              <w:rPr>
                <w:rFonts w:hint="eastAsia" w:ascii="仿宋" w:hAnsi="仿宋" w:eastAsia="仿宋" w:cs="仿宋"/>
                <w:color w:val="auto"/>
                <w:sz w:val="23"/>
                <w:szCs w:val="23"/>
                <w:highlight w:val="none"/>
              </w:rPr>
            </w:pPr>
            <w:r>
              <w:rPr>
                <w:rFonts w:hint="eastAsia" w:ascii="仿宋" w:hAnsi="仿宋" w:eastAsia="仿宋" w:cs="仿宋"/>
                <w:color w:val="auto"/>
                <w:spacing w:val="15"/>
                <w:sz w:val="23"/>
                <w:szCs w:val="23"/>
                <w:highlight w:val="none"/>
                <w14:textOutline w14:w="4358" w14:cap="sq" w14:cmpd="sng">
                  <w14:solidFill>
                    <w14:srgbClr w14:val="000000"/>
                  </w14:solidFill>
                  <w14:prstDash w14:val="solid"/>
                  <w14:bevel/>
                </w14:textOutline>
              </w:rPr>
              <w:t>得</w:t>
            </w:r>
            <w:r>
              <w:rPr>
                <w:rFonts w:hint="eastAsia" w:ascii="仿宋" w:hAnsi="仿宋" w:eastAsia="仿宋" w:cs="仿宋"/>
                <w:color w:val="auto"/>
                <w:spacing w:val="14"/>
                <w:sz w:val="23"/>
                <w:szCs w:val="23"/>
                <w:highlight w:val="none"/>
                <w14:textOutline w14:w="4358" w14:cap="sq" w14:cmpd="sng">
                  <w14:solidFill>
                    <w14:srgbClr w14:val="000000"/>
                  </w14:solidFill>
                  <w14:prstDash w14:val="solid"/>
                  <w14:bevel/>
                </w14:textOutline>
              </w:rPr>
              <w:t>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5" w:line="227" w:lineRule="auto"/>
              <w:jc w:val="center"/>
              <w:rPr>
                <w:rFonts w:hint="eastAsia" w:ascii="仿宋" w:hAnsi="仿宋" w:eastAsia="仿宋" w:cs="仿宋"/>
                <w:color w:val="auto"/>
                <w:sz w:val="23"/>
                <w:szCs w:val="23"/>
                <w:highlight w:val="none"/>
                <w:lang w:val="en-US" w:eastAsia="zh-CN"/>
              </w:rPr>
            </w:pPr>
            <w:r>
              <w:rPr>
                <w:rFonts w:hint="eastAsia" w:ascii="仿宋" w:hAnsi="仿宋" w:eastAsia="仿宋" w:cs="仿宋"/>
                <w:color w:val="auto"/>
                <w:sz w:val="23"/>
                <w:szCs w:val="23"/>
                <w:highlight w:val="none"/>
                <w:lang w:val="en-US" w:eastAsia="zh-CN"/>
              </w:rPr>
              <w:t>政策效应</w:t>
            </w:r>
          </w:p>
        </w:tc>
        <w:tc>
          <w:tcPr>
            <w:tcW w:w="2210" w:type="dxa"/>
            <w:tcBorders>
              <w:tl2br w:val="nil"/>
              <w:tr2bl w:val="nil"/>
            </w:tcBorders>
            <w:vAlign w:val="top"/>
          </w:tcPr>
          <w:p>
            <w:pPr>
              <w:keepNext w:val="0"/>
              <w:keepLines w:val="0"/>
              <w:pageBreakBefore w:val="0"/>
              <w:widowControl w:val="0"/>
              <w:wordWrap/>
              <w:overflowPunct/>
              <w:topLinePunct w:val="0"/>
              <w:bidi w:val="0"/>
              <w:spacing w:before="126" w:line="192" w:lineRule="auto"/>
              <w:ind w:left="1007"/>
              <w:rPr>
                <w:rFonts w:hint="eastAsia" w:ascii="仿宋" w:hAnsi="仿宋" w:eastAsia="仿宋" w:cs="仿宋"/>
                <w:color w:val="auto"/>
                <w:sz w:val="23"/>
                <w:szCs w:val="23"/>
                <w:highlight w:val="none"/>
                <w:lang w:val="en-US" w:eastAsia="zh-CN"/>
              </w:rPr>
            </w:pPr>
            <w:r>
              <w:rPr>
                <w:rFonts w:hint="eastAsia" w:ascii="仿宋" w:hAnsi="仿宋" w:eastAsia="仿宋" w:cs="仿宋"/>
                <w:color w:val="auto"/>
                <w:spacing w:val="-8"/>
                <w:sz w:val="23"/>
                <w:szCs w:val="23"/>
                <w:highlight w:val="none"/>
                <w:lang w:val="en-US" w:eastAsia="zh-CN"/>
              </w:rPr>
              <w:t>45</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auto"/>
                <w:kern w:val="0"/>
                <w:sz w:val="22"/>
                <w:szCs w:val="22"/>
                <w:highlight w:val="none"/>
                <w:u w:val="none"/>
                <w:lang w:val="en-US" w:eastAsia="zh-CN"/>
              </w:rPr>
            </w:pPr>
            <w:r>
              <w:rPr>
                <w:rFonts w:hint="eastAsia" w:ascii="仿宋" w:hAnsi="仿宋" w:eastAsia="仿宋" w:cs="仿宋"/>
                <w:i w:val="0"/>
                <w:iCs w:val="0"/>
                <w:snapToGrid w:val="0"/>
                <w:color w:val="auto"/>
                <w:kern w:val="0"/>
                <w:sz w:val="22"/>
                <w:szCs w:val="22"/>
                <w:highlight w:val="none"/>
                <w:u w:val="none"/>
                <w:lang w:val="en-US" w:eastAsia="zh-CN" w:bidi="ar"/>
              </w:rPr>
              <w:t>31</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auto"/>
                <w:kern w:val="0"/>
                <w:sz w:val="22"/>
                <w:szCs w:val="22"/>
                <w:highlight w:val="none"/>
                <w:u w:val="none"/>
              </w:rPr>
            </w:pPr>
            <w:r>
              <w:rPr>
                <w:rFonts w:hint="eastAsia" w:ascii="仿宋" w:hAnsi="仿宋" w:eastAsia="仿宋" w:cs="仿宋"/>
                <w:i w:val="0"/>
                <w:iCs w:val="0"/>
                <w:snapToGrid w:val="0"/>
                <w:color w:val="auto"/>
                <w:kern w:val="0"/>
                <w:sz w:val="22"/>
                <w:szCs w:val="22"/>
                <w:highlight w:val="none"/>
                <w:u w:val="none"/>
                <w:lang w:val="en-US" w:eastAsia="zh-CN" w:bidi="ar"/>
              </w:rPr>
              <w:t>68.89%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5" w:line="226" w:lineRule="auto"/>
              <w:jc w:val="center"/>
              <w:rPr>
                <w:rFonts w:hint="eastAsia" w:ascii="仿宋" w:hAnsi="仿宋" w:eastAsia="仿宋" w:cs="仿宋"/>
                <w:color w:val="auto"/>
                <w:sz w:val="23"/>
                <w:szCs w:val="23"/>
                <w:highlight w:val="none"/>
                <w:lang w:val="en-US" w:eastAsia="zh-CN"/>
              </w:rPr>
            </w:pPr>
            <w:r>
              <w:rPr>
                <w:rFonts w:hint="eastAsia" w:ascii="仿宋" w:hAnsi="仿宋" w:eastAsia="仿宋" w:cs="仿宋"/>
                <w:color w:val="auto"/>
                <w:sz w:val="23"/>
                <w:szCs w:val="23"/>
                <w:highlight w:val="none"/>
                <w:lang w:val="en-US" w:eastAsia="zh-CN"/>
              </w:rPr>
              <w:t>投资运营</w:t>
            </w:r>
          </w:p>
        </w:tc>
        <w:tc>
          <w:tcPr>
            <w:tcW w:w="2210" w:type="dxa"/>
            <w:tcBorders>
              <w:tl2br w:val="nil"/>
              <w:tr2bl w:val="nil"/>
            </w:tcBorders>
            <w:vAlign w:val="top"/>
          </w:tcPr>
          <w:p>
            <w:pPr>
              <w:keepNext w:val="0"/>
              <w:keepLines w:val="0"/>
              <w:pageBreakBefore w:val="0"/>
              <w:widowControl w:val="0"/>
              <w:wordWrap/>
              <w:overflowPunct/>
              <w:topLinePunct w:val="0"/>
              <w:bidi w:val="0"/>
              <w:spacing w:before="128" w:line="192" w:lineRule="auto"/>
              <w:ind w:left="1000"/>
              <w:rPr>
                <w:rFonts w:hint="eastAsia" w:ascii="仿宋" w:hAnsi="仿宋" w:eastAsia="仿宋" w:cs="仿宋"/>
                <w:color w:val="auto"/>
                <w:sz w:val="23"/>
                <w:szCs w:val="23"/>
                <w:highlight w:val="none"/>
                <w:lang w:val="en-US" w:eastAsia="zh-CN"/>
              </w:rPr>
            </w:pPr>
            <w:r>
              <w:rPr>
                <w:rFonts w:hint="eastAsia" w:ascii="仿宋" w:hAnsi="仿宋" w:eastAsia="仿宋" w:cs="仿宋"/>
                <w:color w:val="auto"/>
                <w:spacing w:val="-4"/>
                <w:sz w:val="23"/>
                <w:szCs w:val="23"/>
                <w:highlight w:val="none"/>
                <w:lang w:val="en-US" w:eastAsia="zh-CN"/>
              </w:rPr>
              <w:t>35</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auto"/>
                <w:kern w:val="0"/>
                <w:sz w:val="22"/>
                <w:szCs w:val="22"/>
                <w:highlight w:val="none"/>
                <w:u w:val="none"/>
                <w:lang w:val="en-US" w:eastAsia="zh-CN"/>
              </w:rPr>
            </w:pPr>
            <w:r>
              <w:rPr>
                <w:rFonts w:hint="eastAsia" w:ascii="仿宋" w:hAnsi="仿宋" w:eastAsia="仿宋" w:cs="仿宋"/>
                <w:i w:val="0"/>
                <w:iCs w:val="0"/>
                <w:snapToGrid w:val="0"/>
                <w:color w:val="auto"/>
                <w:kern w:val="0"/>
                <w:sz w:val="22"/>
                <w:szCs w:val="22"/>
                <w:highlight w:val="none"/>
                <w:u w:val="none"/>
                <w:lang w:val="en-US" w:eastAsia="zh-CN" w:bidi="ar"/>
              </w:rPr>
              <w:t>28</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auto"/>
                <w:kern w:val="0"/>
                <w:sz w:val="22"/>
                <w:szCs w:val="22"/>
                <w:highlight w:val="none"/>
                <w:u w:val="none"/>
              </w:rPr>
            </w:pPr>
            <w:r>
              <w:rPr>
                <w:rFonts w:hint="eastAsia" w:ascii="仿宋" w:hAnsi="仿宋" w:eastAsia="仿宋" w:cs="仿宋"/>
                <w:i w:val="0"/>
                <w:iCs w:val="0"/>
                <w:snapToGrid w:val="0"/>
                <w:color w:val="auto"/>
                <w:kern w:val="0"/>
                <w:sz w:val="22"/>
                <w:szCs w:val="22"/>
                <w:highlight w:val="none"/>
                <w:u w:val="none"/>
                <w:lang w:val="en-US" w:eastAsia="zh-CN" w:bidi="ar"/>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6" w:line="227" w:lineRule="auto"/>
              <w:jc w:val="center"/>
              <w:rPr>
                <w:rFonts w:hint="eastAsia" w:ascii="仿宋" w:hAnsi="仿宋" w:eastAsia="仿宋" w:cs="仿宋"/>
                <w:color w:val="auto"/>
                <w:sz w:val="23"/>
                <w:szCs w:val="23"/>
                <w:highlight w:val="none"/>
                <w:lang w:val="en-US" w:eastAsia="zh-CN"/>
              </w:rPr>
            </w:pPr>
            <w:r>
              <w:rPr>
                <w:rFonts w:hint="eastAsia" w:ascii="仿宋" w:hAnsi="仿宋" w:eastAsia="仿宋" w:cs="仿宋"/>
                <w:color w:val="auto"/>
                <w:sz w:val="23"/>
                <w:szCs w:val="23"/>
                <w:highlight w:val="none"/>
                <w:lang w:val="en-US" w:eastAsia="zh-CN"/>
              </w:rPr>
              <w:t>管理效能</w:t>
            </w:r>
          </w:p>
        </w:tc>
        <w:tc>
          <w:tcPr>
            <w:tcW w:w="2210" w:type="dxa"/>
            <w:tcBorders>
              <w:tl2br w:val="nil"/>
              <w:tr2bl w:val="nil"/>
            </w:tcBorders>
            <w:vAlign w:val="top"/>
          </w:tcPr>
          <w:p>
            <w:pPr>
              <w:keepNext w:val="0"/>
              <w:keepLines w:val="0"/>
              <w:pageBreakBefore w:val="0"/>
              <w:widowControl w:val="0"/>
              <w:wordWrap/>
              <w:overflowPunct/>
              <w:topLinePunct w:val="0"/>
              <w:bidi w:val="0"/>
              <w:spacing w:before="128" w:line="192" w:lineRule="auto"/>
              <w:ind w:left="1001"/>
              <w:rPr>
                <w:rFonts w:hint="eastAsia" w:ascii="仿宋" w:hAnsi="仿宋" w:eastAsia="仿宋" w:cs="仿宋"/>
                <w:color w:val="auto"/>
                <w:sz w:val="23"/>
                <w:szCs w:val="23"/>
                <w:highlight w:val="none"/>
                <w:lang w:val="en-US" w:eastAsia="zh-CN"/>
              </w:rPr>
            </w:pPr>
            <w:r>
              <w:rPr>
                <w:rFonts w:hint="eastAsia" w:ascii="仿宋" w:hAnsi="仿宋" w:eastAsia="仿宋" w:cs="仿宋"/>
                <w:color w:val="auto"/>
                <w:spacing w:val="-5"/>
                <w:sz w:val="23"/>
                <w:szCs w:val="23"/>
                <w:highlight w:val="none"/>
                <w:lang w:val="en-US" w:eastAsia="zh-CN"/>
              </w:rPr>
              <w:t>20</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auto"/>
                <w:kern w:val="0"/>
                <w:sz w:val="22"/>
                <w:szCs w:val="22"/>
                <w:highlight w:val="none"/>
                <w:u w:val="none"/>
                <w:lang w:val="en-US" w:eastAsia="zh-CN"/>
              </w:rPr>
            </w:pPr>
            <w:r>
              <w:rPr>
                <w:rFonts w:hint="eastAsia" w:ascii="仿宋" w:hAnsi="仿宋" w:eastAsia="仿宋" w:cs="仿宋"/>
                <w:i w:val="0"/>
                <w:iCs w:val="0"/>
                <w:snapToGrid w:val="0"/>
                <w:color w:val="auto"/>
                <w:kern w:val="0"/>
                <w:sz w:val="22"/>
                <w:szCs w:val="22"/>
                <w:highlight w:val="none"/>
                <w:u w:val="none"/>
                <w:lang w:val="en-US" w:eastAsia="zh-CN" w:bidi="ar"/>
              </w:rPr>
              <w:t>7</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snapToGrid w:val="0"/>
                <w:color w:val="auto"/>
                <w:kern w:val="0"/>
                <w:sz w:val="22"/>
                <w:szCs w:val="22"/>
                <w:highlight w:val="none"/>
                <w:u w:val="none"/>
              </w:rPr>
            </w:pPr>
            <w:r>
              <w:rPr>
                <w:rFonts w:hint="eastAsia" w:ascii="仿宋" w:hAnsi="仿宋" w:eastAsia="仿宋" w:cs="仿宋"/>
                <w:i w:val="0"/>
                <w:iCs w:val="0"/>
                <w:snapToGrid w:val="0"/>
                <w:color w:val="auto"/>
                <w:kern w:val="0"/>
                <w:sz w:val="22"/>
                <w:szCs w:val="22"/>
                <w:highlight w:val="none"/>
                <w:u w:val="none"/>
                <w:lang w:val="en-US" w:eastAsia="zh-CN" w:bidi="ar"/>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215" w:type="dxa"/>
            <w:tcBorders>
              <w:tl2br w:val="nil"/>
              <w:tr2bl w:val="nil"/>
            </w:tcBorders>
            <w:vAlign w:val="top"/>
          </w:tcPr>
          <w:p>
            <w:pPr>
              <w:keepNext w:val="0"/>
              <w:keepLines w:val="0"/>
              <w:pageBreakBefore w:val="0"/>
              <w:widowControl w:val="0"/>
              <w:wordWrap/>
              <w:overflowPunct/>
              <w:topLinePunct w:val="0"/>
              <w:bidi w:val="0"/>
              <w:spacing w:before="98" w:line="225" w:lineRule="auto"/>
              <w:ind w:left="865"/>
              <w:rPr>
                <w:rFonts w:hint="eastAsia" w:ascii="仿宋" w:hAnsi="仿宋" w:eastAsia="仿宋" w:cs="仿宋"/>
                <w:color w:val="auto"/>
                <w:sz w:val="23"/>
                <w:szCs w:val="23"/>
                <w:highlight w:val="none"/>
              </w:rPr>
            </w:pPr>
            <w:r>
              <w:rPr>
                <w:rFonts w:hint="eastAsia" w:ascii="仿宋" w:hAnsi="仿宋" w:eastAsia="仿宋" w:cs="仿宋"/>
                <w:color w:val="auto"/>
                <w:spacing w:val="10"/>
                <w:sz w:val="23"/>
                <w:szCs w:val="23"/>
                <w:highlight w:val="none"/>
                <w14:textOutline w14:w="4358" w14:cap="sq" w14:cmpd="sng">
                  <w14:solidFill>
                    <w14:srgbClr w14:val="000000"/>
                  </w14:solidFill>
                  <w14:prstDash w14:val="solid"/>
                  <w14:bevel/>
                </w14:textOutline>
              </w:rPr>
              <w:t>合</w:t>
            </w:r>
            <w:r>
              <w:rPr>
                <w:rFonts w:hint="eastAsia" w:ascii="仿宋" w:hAnsi="仿宋" w:eastAsia="仿宋" w:cs="仿宋"/>
                <w:color w:val="auto"/>
                <w:spacing w:val="9"/>
                <w:sz w:val="23"/>
                <w:szCs w:val="23"/>
                <w:highlight w:val="none"/>
                <w14:textOutline w14:w="4358" w14:cap="sq" w14:cmpd="sng">
                  <w14:solidFill>
                    <w14:srgbClr w14:val="000000"/>
                  </w14:solidFill>
                  <w14:prstDash w14:val="solid"/>
                  <w14:bevel/>
                </w14:textOutline>
              </w:rPr>
              <w:t>计</w:t>
            </w:r>
          </w:p>
        </w:tc>
        <w:tc>
          <w:tcPr>
            <w:tcW w:w="2210" w:type="dxa"/>
            <w:tcBorders>
              <w:tl2br w:val="nil"/>
              <w:tr2bl w:val="nil"/>
            </w:tcBorders>
            <w:vAlign w:val="top"/>
          </w:tcPr>
          <w:p>
            <w:pPr>
              <w:keepNext w:val="0"/>
              <w:keepLines w:val="0"/>
              <w:pageBreakBefore w:val="0"/>
              <w:widowControl w:val="0"/>
              <w:wordWrap/>
              <w:overflowPunct/>
              <w:topLinePunct w:val="0"/>
              <w:bidi w:val="0"/>
              <w:spacing w:before="131" w:line="192" w:lineRule="auto"/>
              <w:ind w:left="947"/>
              <w:rPr>
                <w:rFonts w:hint="eastAsia" w:ascii="仿宋" w:hAnsi="仿宋" w:eastAsia="仿宋" w:cs="仿宋"/>
                <w:color w:val="auto"/>
                <w:sz w:val="23"/>
                <w:szCs w:val="23"/>
                <w:highlight w:val="none"/>
              </w:rPr>
            </w:pPr>
            <w:r>
              <w:rPr>
                <w:rFonts w:hint="eastAsia" w:ascii="仿宋" w:hAnsi="仿宋" w:eastAsia="仿宋" w:cs="仿宋"/>
                <w:color w:val="auto"/>
                <w:spacing w:val="-4"/>
                <w:sz w:val="23"/>
                <w:szCs w:val="23"/>
                <w:highlight w:val="none"/>
                <w14:textOutline w14:w="4358" w14:cap="sq" w14:cmpd="sng">
                  <w14:solidFill>
                    <w14:srgbClr w14:val="000000"/>
                  </w14:solidFill>
                  <w14:prstDash w14:val="solid"/>
                  <w14:bevel/>
                </w14:textOutline>
              </w:rPr>
              <w:t>1</w:t>
            </w:r>
            <w:r>
              <w:rPr>
                <w:rFonts w:hint="eastAsia" w:ascii="仿宋" w:hAnsi="仿宋" w:eastAsia="仿宋" w:cs="仿宋"/>
                <w:color w:val="auto"/>
                <w:spacing w:val="-2"/>
                <w:sz w:val="23"/>
                <w:szCs w:val="23"/>
                <w:highlight w:val="none"/>
                <w14:textOutline w14:w="4358" w14:cap="sq" w14:cmpd="sng">
                  <w14:solidFill>
                    <w14:srgbClr w14:val="000000"/>
                  </w14:solidFill>
                  <w14:prstDash w14:val="solid"/>
                  <w14:bevel/>
                </w14:textOutline>
              </w:rPr>
              <w:t>00</w:t>
            </w:r>
          </w:p>
        </w:tc>
        <w:tc>
          <w:tcPr>
            <w:tcW w:w="2210"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snapToGrid w:val="0"/>
                <w:color w:val="auto"/>
                <w:kern w:val="0"/>
                <w:sz w:val="22"/>
                <w:szCs w:val="22"/>
                <w:highlight w:val="none"/>
                <w:u w:val="none"/>
                <w:lang w:val="en-US" w:eastAsia="zh-CN"/>
              </w:rPr>
            </w:pPr>
            <w:r>
              <w:rPr>
                <w:rFonts w:hint="eastAsia" w:ascii="仿宋" w:hAnsi="仿宋" w:eastAsia="仿宋" w:cs="仿宋"/>
                <w:color w:val="auto"/>
                <w:spacing w:val="-4"/>
                <w:sz w:val="23"/>
                <w:szCs w:val="23"/>
                <w:highlight w:val="none"/>
                <w:lang w:val="en-US" w:eastAsia="zh-CN"/>
                <w14:textOutline w14:w="4358" w14:cap="sq" w14:cmpd="sng">
                  <w14:solidFill>
                    <w14:srgbClr w14:val="000000"/>
                  </w14:solidFill>
                  <w14:prstDash w14:val="solid"/>
                  <w14:bevel/>
                </w14:textOutline>
              </w:rPr>
              <w:t>66</w:t>
            </w:r>
          </w:p>
        </w:tc>
        <w:tc>
          <w:tcPr>
            <w:tcW w:w="2214" w:type="dxa"/>
            <w:tcBorders>
              <w:tl2br w:val="nil"/>
              <w:tr2bl w:val="nil"/>
            </w:tcBorders>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snapToGrid w:val="0"/>
                <w:color w:val="auto"/>
                <w:kern w:val="0"/>
                <w:sz w:val="22"/>
                <w:szCs w:val="22"/>
                <w:highlight w:val="none"/>
                <w:u w:val="none"/>
              </w:rPr>
            </w:pPr>
            <w:r>
              <w:rPr>
                <w:rFonts w:hint="eastAsia" w:ascii="仿宋" w:hAnsi="仿宋" w:eastAsia="仿宋" w:cs="仿宋"/>
                <w:b/>
                <w:bCs/>
                <w:i w:val="0"/>
                <w:iCs w:val="0"/>
                <w:snapToGrid w:val="0"/>
                <w:color w:val="auto"/>
                <w:kern w:val="0"/>
                <w:sz w:val="22"/>
                <w:szCs w:val="22"/>
                <w:highlight w:val="none"/>
                <w:u w:val="none"/>
                <w:lang w:val="en-US" w:eastAsia="zh-CN" w:bidi="ar"/>
              </w:rPr>
              <w:t>66.00%</w:t>
            </w:r>
          </w:p>
        </w:tc>
      </w:tr>
    </w:tbl>
    <w:p>
      <w:pPr>
        <w:keepNext w:val="0"/>
        <w:keepLines w:val="0"/>
        <w:pageBreakBefore w:val="0"/>
        <w:widowControl w:val="0"/>
        <w:wordWrap/>
        <w:overflowPunct/>
        <w:topLinePunct w:val="0"/>
        <w:bidi w:val="0"/>
        <w:spacing w:line="106" w:lineRule="exact"/>
        <w:rPr>
          <w:rFonts w:hint="eastAsia" w:ascii="仿宋" w:hAnsi="仿宋" w:eastAsia="仿宋" w:cs="仿宋"/>
          <w:color w:val="0000FF"/>
          <w:highlight w:val="none"/>
        </w:rPr>
      </w:pP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2、绩效再评价情况分析</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（1）政策效应指标（45分）</w:t>
      </w:r>
    </w:p>
    <w:p>
      <w:pPr>
        <w:keepNext w:val="0"/>
        <w:keepLines w:val="0"/>
        <w:pageBreakBefore w:val="0"/>
        <w:widowControl w:val="0"/>
        <w:kinsoku w:val="0"/>
        <w:wordWrap/>
        <w:overflowPunct/>
        <w:topLinePunct w:val="0"/>
        <w:autoSpaceDE w:val="0"/>
        <w:autoSpaceDN w:val="0"/>
        <w:bidi w:val="0"/>
        <w:adjustRightInd w:val="0"/>
        <w:snapToGrid w:val="0"/>
        <w:spacing w:before="197" w:line="356" w:lineRule="auto"/>
        <w:ind w:left="33" w:right="382" w:firstLine="604"/>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从评价得分情况看，此项评价满分为45分，再评价得分为31分(占该项满分值的68.89%)，具体分析如下：</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①财政资金放大效果（15分）</w:t>
      </w:r>
    </w:p>
    <w:p>
      <w:pPr>
        <w:pStyle w:val="29"/>
        <w:keepNext w:val="0"/>
        <w:keepLines w:val="0"/>
        <w:pageBreakBefore w:val="0"/>
        <w:widowControl w:val="0"/>
        <w:numPr>
          <w:ilvl w:val="0"/>
          <w:numId w:val="0"/>
        </w:numPr>
        <w:kinsoku w:val="0"/>
        <w:wordWrap/>
        <w:overflowPunct/>
        <w:topLinePunct w:val="0"/>
        <w:autoSpaceDE w:val="0"/>
        <w:autoSpaceDN w:val="0"/>
        <w:bidi w:val="0"/>
        <w:adjustRightInd w:val="0"/>
        <w:snapToGrid w:val="0"/>
        <w:ind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a.撬动社会资本情况：截至2022年末，拾珍基金实缴到位15,000.00万元，其中：引导基金实缴到位4,500.00万元。</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right="0"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经计算，子基金累计实缴总规模/引导基金对该子基金累计投资金额比率为：15,000/4,500=3.33。</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right="0"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根据绩效评价指标体系评分标准，此项得分处于“≥3且＜4”分段，此项评价得分为8分。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right="0"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b.引导社会资本情况：根据拾珍基金管理机构披露：拾珍基金对外投资项目2022年度当期累计获得再融资金额800万元。</w:t>
      </w:r>
    </w:p>
    <w:p>
      <w:pPr>
        <w:keepNext w:val="0"/>
        <w:keepLines w:val="0"/>
        <w:pageBreakBefore w:val="0"/>
        <w:widowControl w:val="0"/>
        <w:wordWrap/>
        <w:overflowPunct/>
        <w:topLinePunct w:val="0"/>
        <w:bidi w:val="0"/>
        <w:spacing w:beforeAutospacing="0" w:after="0" w:afterAutospacing="0" w:line="600" w:lineRule="exact"/>
        <w:ind w:left="0" w:leftChars="0" w:right="0" w:firstLine="0" w:firstLineChars="0"/>
        <w:jc w:val="righ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单位：万元</w:t>
      </w:r>
    </w:p>
    <w:tbl>
      <w:tblPr>
        <w:tblStyle w:val="11"/>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13"/>
        <w:gridCol w:w="4105"/>
        <w:gridCol w:w="2393"/>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18"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snapToGrid w:val="0"/>
                <w:color w:val="000000"/>
                <w:kern w:val="0"/>
                <w:sz w:val="21"/>
                <w:szCs w:val="21"/>
                <w:highlight w:val="none"/>
                <w:u w:val="none"/>
                <w:lang w:val="en-US" w:eastAsia="zh-CN" w:bidi="ar"/>
              </w:rPr>
              <w:t>序号</w:t>
            </w:r>
          </w:p>
        </w:tc>
        <w:tc>
          <w:tcPr>
            <w:tcW w:w="2407"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snapToGrid w:val="0"/>
                <w:color w:val="000000"/>
                <w:kern w:val="0"/>
                <w:sz w:val="21"/>
                <w:szCs w:val="21"/>
                <w:highlight w:val="none"/>
                <w:u w:val="none"/>
                <w:lang w:val="en-US" w:eastAsia="zh-CN" w:bidi="ar"/>
              </w:rPr>
              <w:t>项目名称</w:t>
            </w:r>
          </w:p>
        </w:tc>
        <w:tc>
          <w:tcPr>
            <w:tcW w:w="1403"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snapToGrid w:val="0"/>
                <w:color w:val="000000"/>
                <w:kern w:val="0"/>
                <w:sz w:val="21"/>
                <w:szCs w:val="21"/>
                <w:highlight w:val="none"/>
                <w:u w:val="none"/>
                <w:lang w:val="en-US" w:eastAsia="zh-CN" w:bidi="ar"/>
              </w:rPr>
              <w:t>融资方式</w:t>
            </w:r>
          </w:p>
        </w:tc>
        <w:tc>
          <w:tcPr>
            <w:tcW w:w="771"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snapToGrid w:val="0"/>
                <w:color w:val="000000"/>
                <w:kern w:val="0"/>
                <w:sz w:val="21"/>
                <w:szCs w:val="21"/>
                <w:highlight w:val="none"/>
                <w:u w:val="none"/>
                <w:lang w:val="en-US" w:eastAsia="zh-CN" w:bidi="ar"/>
              </w:rPr>
              <w:t>融资金额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18"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snapToGrid w:val="0"/>
                <w:color w:val="000000"/>
                <w:kern w:val="0"/>
                <w:sz w:val="21"/>
                <w:szCs w:val="21"/>
                <w:highlight w:val="none"/>
                <w:u w:val="none"/>
                <w:lang w:val="en-US" w:eastAsia="zh-CN" w:bidi="ar"/>
              </w:rPr>
              <w:t>1</w:t>
            </w:r>
          </w:p>
        </w:tc>
        <w:tc>
          <w:tcPr>
            <w:tcW w:w="2407"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snapToGrid w:val="0"/>
                <w:color w:val="000000"/>
                <w:kern w:val="0"/>
                <w:sz w:val="21"/>
                <w:szCs w:val="21"/>
                <w:highlight w:val="none"/>
                <w:u w:val="none"/>
                <w:lang w:val="en-US" w:eastAsia="zh-CN" w:bidi="ar"/>
              </w:rPr>
              <w:t>杭州爱科瑞思生物医药有限公司</w:t>
            </w:r>
          </w:p>
        </w:tc>
        <w:tc>
          <w:tcPr>
            <w:tcW w:w="1403"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snapToGrid w:val="0"/>
                <w:color w:val="000000"/>
                <w:kern w:val="0"/>
                <w:sz w:val="21"/>
                <w:szCs w:val="21"/>
                <w:highlight w:val="none"/>
                <w:u w:val="none"/>
                <w:lang w:val="en-US" w:eastAsia="zh-CN" w:bidi="ar"/>
              </w:rPr>
              <w:t>债权（银行贷款）</w:t>
            </w:r>
          </w:p>
        </w:tc>
        <w:tc>
          <w:tcPr>
            <w:tcW w:w="771"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snapToGrid w:val="0"/>
                <w:color w:val="000000"/>
                <w:kern w:val="0"/>
                <w:sz w:val="21"/>
                <w:szCs w:val="21"/>
                <w:highlight w:val="none"/>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228" w:type="pct"/>
            <w:gridSpan w:val="3"/>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snapToGrid w:val="0"/>
                <w:color w:val="000000"/>
                <w:kern w:val="0"/>
                <w:sz w:val="21"/>
                <w:szCs w:val="21"/>
                <w:highlight w:val="none"/>
                <w:u w:val="none"/>
                <w:lang w:val="en-US" w:eastAsia="zh-CN" w:bidi="ar"/>
              </w:rPr>
              <w:t>合计</w:t>
            </w:r>
          </w:p>
        </w:tc>
        <w:tc>
          <w:tcPr>
            <w:tcW w:w="771" w:type="pct"/>
            <w:tcBorders>
              <w:tl2br w:val="nil"/>
              <w:tr2bl w:val="nil"/>
            </w:tcBorders>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snapToGrid w:val="0"/>
                <w:color w:val="000000"/>
                <w:kern w:val="0"/>
                <w:sz w:val="21"/>
                <w:szCs w:val="21"/>
                <w:highlight w:val="none"/>
                <w:u w:val="none"/>
                <w:lang w:val="en-US" w:eastAsia="zh-CN" w:bidi="ar"/>
              </w:rPr>
              <w:t>800</w:t>
            </w:r>
          </w:p>
        </w:tc>
      </w:tr>
    </w:tbl>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经计算，子基金投资项目当期累计融资金额/财政实缴规模比率为：0.08/0.45=0.17。</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根据绩效评价指标体系评分标准，此项得分处于“＞0且＜0.5”分段，此项评价得分为3分。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②政策引导效果（20分）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a.本地返投比例：截至2022年末，拾珍基金投资期已结束，未投资于新区内企业。</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根据绩效评价指标体系评分标准，此项得分处于“投资期结束后，＜2不得分”分段，此项评价得分为0分。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b.基金投向：截至2022年末，拾珍基金累计对外投资项目2个，投资金额5,500万元，所属领域为新药研发，均符合基金合伙协议约定的投资领域。</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经计算，子基金投资在基金合伙协议约定的投资领域的金额/该子基金累计投资金额比率为：0.55/0.55*100%=100%。</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根据绩效评价指标体系评分标准，此项得分处于“≥80%”分段，此项评价得分为10分。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③社会效益（10分）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a.被投企业就业人数：珍基金管理机构披露：截至2022年末，拾珍基金被投企业就业人数达201人，较投资时点企业就业人数（129人）增长72人。</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根据绩效评价指标体系评分标准，此项得分处于“&gt;50”分段，此项评价得分为5分。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b.被投企业营业收入:截至2022年末，拾珍基金被投企业营业收入达1302万元，较投资时点企业营业收入（459万元）增长843万元，增长率为64.75%。</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根据引导基金绩效评价指标体系评价指标评分标准，此项得分处于“＞0.5”分段，此项评价得分为5分。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④激励性指标（0.20分）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a.招商引资方面：截至2022年末，拾珍基金尚未有符合该项招商引资指标认定标准的相关情形。根据绩效评价指标体系评分标准，评价不存在加分。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b.被投资企业上市方面：截至2022年末，拾珍基金尚未有符合该项招商引资指标认定标准的相关情形。根据绩效评价指标体系评分标准，评价不存在加分。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（2）投资运营指标（35分）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从评价得分情况来看，该项指标满分35分，再评价得分为28分（占该项总分值80.00%），具体分析如下：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①设立（20分）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a.设立规范性：引导基金对子基金出资经过产业引导基金投委会审议决策，引导基金出资不早于社会资本，引导基金对子基金出资持股25%。</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根据绩效评价指标体系评分标准，此项评价得分为4分。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b.基金设立进度：拾珍基金取得引导基金投资决策批复九个月后，于2019年12月完成了基金首期资金募集。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根据绩效评价指标体系评分标准，此项得分处于“＞6个月且≤9个月”分段，此项评价得分为2分。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基金出资进度：拾珍基金各合伙人已按照《合作协议》相关约定，于2019年12月31日前完成基金首期出资。但截至2022年末，拾珍基金实缴仍未达到全部认缴出资总额，且基金已进入退出期阶段，不再进行二期资金募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根据绩效评价指标体系评分标准，此项评价得分为3分。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d.基金托管：2019年12月24日拾珍基金与上海浦发银行哈尔滨分行签订资金托管协议。</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根据绩效评价指标体系评分标准，此项评价得分为2分。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e.投资规范性：拾珍基金最高单个项目投资额3000万元，未超过基金认缴规模的20%（10,000.00万元），符合《哈尔滨市产业引导基金及哈尔滨新区产业引导基金设立方案》相关要求。</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根据绩效评价指标体系评分标准，此项评价得分为2分。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②管理人综合评价（15分）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管理人情况：北京珍鑫私募基金管理有限公司现有员工7人，其中：4人具备基金从业资格；3人具备3年以上资产管理工作经验。管理团队在管基金2支，管理规模合计100,000.00万元。2022年度，拾珍基金管理机构核心团队成员发生变更，团队成员周晋峰、吴大伟等2人离职，钟晓敏、唐铸等2人加入团队。</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根据绩效评价指标体系评分标准，此项评价得分为5分。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风控合规：拾珍基金管理机构制定了基金运行管理相关制度28项，包括但不限于运营风险控制制度、投资管理制度、关联交易管理制度、投资决策委员会议事规则、内部控制制度、项目退出管理办法等，管理制度较为完善。基金下设投资决策委员会，具备市场化的投决机制。基金管理机构能够按照《合伙协议》相关要求，就基金及被投企业运行情况及时向合伙人进行披露。</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根据绩效评价指标体系评分标准，此项评价得分为4分。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c.登记报送情况：拾珍基金管理人能够及时、规范、真实准确完成中国证券投资基金业协会私募投资基金备案、全国政府出资产业投资基金信用信息登记系统完成备案及绩效评价等相关信息登记报送事项。</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根据绩效评价指标体系评分标准，此项评价得分为3分。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d.信用情况：根据拾珍基金管理机构披露：基金管理人及其高级管理人员、从业人员不存在违反法律、法规的行为，不存在被纳入全国信用信息共享平台失信名单，未受到过监管机构的行政处罚。</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根据绩效评价指标体系评分标准，此项评价得分为3分。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（3）管理效能（20分）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从评价得分情况来看，该项指标满分20分，再评价得分为7分（占该项总分值35.00%），具体分析如下：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①投资时效：截至2022年末，拾珍基金已进入退出期阶段，累计对外投资项目2个，投资金额5,500.00万元，基金可投资总额按照基金实缴出资额的90%计算为13,500.00万元。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经计算，子基金累计投资金额/子基金可投资总额的比率为：5,500/13,500*100%=40.74%。</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根据引导基金绩效评价指标体系评价指标评分标准，此项得分处于“投资期结束后，且基金认缴出资未全部实缴到位：＜80”分段，此项评价得分为0分。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基金业绩：拾珍基金2022年末所有者权益为14,828.38万元，较年初时所有者权益14,801.38万元增加27万元。截至2022年末，拾珍基金投资项目尚未退出，投资收益及亏损尚未体现，同时基金未计提2022年度管理费且未进行资金分配，故所有者权益无明显变化。</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经计算，年末基金所有者权益/年初基金所有者权益引导基金比率为：1.48/1.48=1。</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根据引导基金绩效评价指标体系评价指标评分标准，此项得分处于“子基金处于退出期及延长期≥1且＜1.2”分段，此项评价得分为3分。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③资金使用：拾珍基金已将基金资产委托商业银行进行托管，且闲置资金只投资于银行存款，资金安全性可靠，符合《哈尔滨市产业引导基金及哈尔滨新区产业引导基金设立方案》相关要求。</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根据绩效评价指标体系评分标准，此项评价得分为4分。</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五、产业引导基金管理机构运营评价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10月29日，贵局与哈尔滨创业投资集团有限公司（晟汇投资公司的母公司）签订委托管理协议；2021年11月9日，贵局与创业投资集团有限公司及哈尔滨银行股份有限公司哈尔滨新区科技专业支行签订银行账户三方监管协议；2022年度基金账户利息收入76.18万元，上缴财政闲置资金17,500.00万元，上缴财政账户结余利息72.74万元，截至2022年末基金账户存款余额2,342.69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2022年9月23日，晟汇投资公司分别向三支子基金下达《关于2021年度基金绩效再评价整改告知函》；2022年12月8日，向商纵秋歌基金下达《关于缩减哈尔滨商纵秋歌投资企业（有限合伙）认缴规模的通知函》。</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度，晟汇投资公司能够及时上报年度引导基金执行情况报告、年度会计报告、年度基金自评报告；能够通过面谈、电话、微信、会议及书面通知等方式加强与子基金管理机构的沟通交流，及时了解子基金运营情况；能够针对商纵秋歌基金、拾珍基金等两项需关注的子基金形成重大事项工作日志；能够积极向产业引导基金投资决策委员会请示汇报，2022年12月16日提交了《关于哈尔滨新区产业引导基金参股子基金申请变更管理团队成员及延长投资期的申请》。</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六、存在问题</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2022年晟汇投资公司的绩效评价体系建设符合制度要求，绩效自评数据完整、分析内容详尽，提出的5个问题及风险点能够真实的反映当前引导基金与子基金管理的不足，为后续基金管理工作指明了方向。</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下面，就一些问题补充阐述如下：</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（一）绩效自评报告未对重大事项进行披露</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2月23日，科力北方基金管理机构聘请北京市京师（哈尔滨）律师事务所代理对哈尔滨腾迈通用航空科技有限公司提起诉讼及财产保全。2022年5月腾迈航空公司实际控制人已经被采取强制措施，2023年春节后，管理公司又了解到腾迈航空员工均已离岗，经营彻底处于停滞状态。该事项对报告已经产生了重大影响，晟汇投资公司在绩效自评报告中应披露而未做披露，影响绩效自评结果的使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述事项不符合《私募投资基金监督管理暂行办法》（中国证券监督管理委员会令第105号）第二十四条“私募基金管理人、私募基金托管人应当按照合同约定，如实向投资者披露基金投资、资产负债、投资收益分配、基金承担的费用和业绩报酬、可能存在的利益冲突情况以及可能影响投资者合法权益的其他重大信息，不得隐瞒或者提供虚假信息。...”的规定。</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（二）基金评价制度制定不及时，缺乏应有的指导性</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新区（江北一体发展区）财政和金融服务局政府投资基金绩效评价管理办法》（哈松财发〔2022〕90号）印发时间为2022年8月30日，晟汇投资公司制定的《哈尔滨新区产业引导基金参股子基金绩效考核评价管理办法（试行）》印发时间为2023年3月31日，而2022年度对子基金评价报告时间为2023年5月25日。使用2023年的新制度衡量、评价2022年度的基金管理工作，缺乏应有的指导作用，不利于基金的有效管理与约束。</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述事项不符合《关于加强政府投资基金管理提高财政出资效益的通知》（财预〔2020〕7号）“三、实施政府投资基金全过程绩效管理。财政部门会同相关部门对基金实施全过程绩效管理。行业主管部门负责做好事前绩效评估，制定绩效目标和绩效指标，开展绩效监控，每年末基金实施绩效自评。...”的规定。</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13" w:name="_bookmark26"/>
      <w:bookmarkEnd w:id="13"/>
      <w:r>
        <w:rPr>
          <w:rFonts w:hint="eastAsia" w:ascii="仿宋" w:hAnsi="仿宋" w:eastAsia="仿宋" w:cs="仿宋"/>
          <w:b/>
          <w:bCs/>
          <w:sz w:val="28"/>
          <w:szCs w:val="28"/>
          <w:lang w:val="en-US" w:eastAsia="zh-CN"/>
        </w:rPr>
        <w:t>七、建议</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（一）建议进一步加强基金信息披露管理，规范信息披露规则，对可能存在的利益冲突和重要性信息，应及时向投资者披露，确保信息的真实性、准确性及完整性。</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（二）建议进一步加强基金评价制度体系建设，不断提升执行力，确保基金评价制度落实到位，推动基金有效管理和强化内部约束机制。</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八、其他需要说明的情况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截至2022年末，科力北方基金累计部分退出项目2个，退出金额7,300.00万元，对应投资本金6,400.00万元。引导基金参股子基金累计退出分配资金13,100.00万元，其中：子基金分配项目退出款7,300.00万元，子基金分配托管账户孳息5,800.00万元。按照子基金《合伙协议》约定，引导基金总计对应分配收回资金3,300.00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2023年1月17日，提交了《关于哈尔滨新区产业引导基金参股子基金延长投资期的申请》；2023年1月17日，提交了《关于拨付2021年度及2022年度新区产业引导基金管理费的请示》；2023年4月23日，提交了《关于哈尔滨拾珍生物医药投资中心（有限公司）退出方案及基金运营相关事宜的申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（三）2023年5月26日，委托黑龙江大地律师事务所出具了《关于商纵秋歌基金投资纠纷的法律服务方案》；2023年7月12日，委托黑龙江大地律师事务所向北京纵横天润投资管理有限公司出具了《律师函》。</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（四）本报告仅限委托方松北区财政和金融局此次专项委托使用。</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14" w:name="_bookmark28"/>
      <w:bookmarkEnd w:id="14"/>
      <w:r>
        <w:rPr>
          <w:rFonts w:hint="eastAsia" w:ascii="仿宋" w:hAnsi="仿宋" w:eastAsia="仿宋" w:cs="仿宋"/>
          <w:b/>
          <w:bCs/>
          <w:sz w:val="28"/>
          <w:szCs w:val="28"/>
          <w:lang w:val="en-US" w:eastAsia="zh-CN"/>
        </w:rPr>
        <w:t>九、附件</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（一）2022年度科力北方基金绩效再评价指标体系评分表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（二）2022年度商纵秋歌基金绩效再评价指标体系评分表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（三）2022年度拾珍基金绩效再评价指标体系评分表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（四）2022年度哈尔滨新区产业引导基金子基金投资数据统计表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（五）2022年度哈尔滨新区产业引导基金绩效自评报告</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（六）2022年度黑龙江科力北方投资企业绩效评估报告</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（七）2022年度哈尔滨商纵秋歌投资企业绩效评估报告</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（八）2022年度哈尔滨拾珍生物医药投资中心绩效评估报告</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bookmarkStart w:id="15" w:name="_GoBack"/>
      <w:bookmarkEnd w:id="15"/>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黑龙江至圣会计师事务所         中国注册会计师：</w:t>
      </w:r>
    </w:p>
    <w:p>
      <w:pPr>
        <w:keepNext w:val="0"/>
        <w:keepLines w:val="0"/>
        <w:pageBreakBefore w:val="0"/>
        <w:widowControl w:val="0"/>
        <w:tabs>
          <w:tab w:val="left" w:pos="4830"/>
        </w:tabs>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有限责任公司</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中国·哈尔滨              中国注册会计师：</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2023年8月17日</w:t>
      </w:r>
    </w:p>
    <w:sectPr>
      <w:headerReference r:id="rId4" w:type="first"/>
      <w:footerReference r:id="rId7" w:type="first"/>
      <w:headerReference r:id="rId3" w:type="default"/>
      <w:footerReference r:id="rId5" w:type="default"/>
      <w:footerReference r:id="rId6" w:type="even"/>
      <w:pgSz w:w="11906" w:h="16838"/>
      <w:pgMar w:top="1871" w:right="1797" w:bottom="1307" w:left="1797" w:header="851" w:footer="992" w:gutter="0"/>
      <w:pgBorders>
        <w:top w:val="none" w:sz="0" w:space="0"/>
        <w:left w:val="none" w:sz="0" w:space="0"/>
        <w:bottom w:val="none" w:sz="0" w:space="0"/>
        <w:right w:val="none" w:sz="0" w:space="0"/>
      </w:pgBorders>
      <w:lnNumType w:countBy="0"/>
      <w:pgNumType w:fmt="decimal" w:start="1"/>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14"/>
        <w:rFonts w:ascii="隶书" w:eastAsia="隶书"/>
        <w:i/>
        <w:iCs/>
        <w:kern w:val="2"/>
        <w:sz w:val="24"/>
        <w:szCs w:val="18"/>
        <w:lang w:val="en-US" w:eastAsia="zh-CN" w:bidi="ar-SA"/>
      </w:rPr>
    </w:pPr>
    <w:r>
      <w:rPr>
        <w:sz w:val="24"/>
      </w:rPr>
      <mc:AlternateContent>
        <mc:Choice Requires="wps">
          <w:drawing>
            <wp:anchor distT="0" distB="0" distL="114300" distR="114300" simplePos="0" relativeHeight="251662336" behindDoc="0" locked="0" layoutInCell="1" allowOverlap="1">
              <wp:simplePos x="0" y="0"/>
              <wp:positionH relativeFrom="margin">
                <wp:posOffset>2125980</wp:posOffset>
              </wp:positionH>
              <wp:positionV relativeFrom="paragraph">
                <wp:posOffset>190500</wp:posOffset>
              </wp:positionV>
              <wp:extent cx="1828800" cy="1828800"/>
              <wp:effectExtent l="0" t="0" r="0" b="0"/>
              <wp:wrapNone/>
              <wp:docPr id="5"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隶书" w:hAnsi="隶书" w:eastAsia="隶书" w:cs="隶书"/>
                              <w:sz w:val="21"/>
                              <w:szCs w:val="21"/>
                            </w:rPr>
                          </w:pPr>
                          <w:r>
                            <w:rPr>
                              <w:rFonts w:hint="eastAsia" w:ascii="隶书" w:hAnsi="隶书" w:eastAsia="隶书" w:cs="隶书"/>
                              <w:sz w:val="21"/>
                              <w:szCs w:val="21"/>
                            </w:rPr>
                            <w:t xml:space="preserve">第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PAGE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2</w:t>
                          </w:r>
                          <w:r>
                            <w:rPr>
                              <w:rFonts w:hint="eastAsia" w:ascii="隶书" w:hAnsi="隶书" w:eastAsia="隶书" w:cs="隶书"/>
                              <w:sz w:val="21"/>
                              <w:szCs w:val="21"/>
                            </w:rPr>
                            <w:fldChar w:fldCharType="end"/>
                          </w:r>
                          <w:r>
                            <w:rPr>
                              <w:rFonts w:hint="eastAsia" w:ascii="隶书" w:hAnsi="隶书" w:eastAsia="隶书" w:cs="隶书"/>
                              <w:sz w:val="21"/>
                              <w:szCs w:val="21"/>
                            </w:rPr>
                            <w:t xml:space="preserve"> 页 共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NUMPAGES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16</w:t>
                          </w:r>
                          <w:r>
                            <w:rPr>
                              <w:rFonts w:hint="eastAsia" w:ascii="隶书" w:hAnsi="隶书" w:eastAsia="隶书" w:cs="隶书"/>
                              <w:sz w:val="21"/>
                              <w:szCs w:val="21"/>
                            </w:rPr>
                            <w:fldChar w:fldCharType="end"/>
                          </w:r>
                          <w:r>
                            <w:rPr>
                              <w:rFonts w:hint="eastAsia" w:ascii="隶书" w:hAnsi="隶书" w:eastAsia="隶书" w:cs="隶书"/>
                              <w:sz w:val="21"/>
                              <w:szCs w:val="21"/>
                            </w:rPr>
                            <w:t xml:space="preserve"> 页</w:t>
                          </w:r>
                        </w:p>
                      </w:txbxContent>
                    </wps:txbx>
                    <wps:bodyPr wrap="none" lIns="0" tIns="0" rIns="0" bIns="0" upright="0">
                      <a:spAutoFit/>
                    </wps:bodyPr>
                  </wps:wsp>
                </a:graphicData>
              </a:graphic>
            </wp:anchor>
          </w:drawing>
        </mc:Choice>
        <mc:Fallback>
          <w:pict>
            <v:shape id="文本框 1033" o:spid="_x0000_s1026" o:spt="202" type="#_x0000_t202" style="position:absolute;left:0pt;margin-left:167.4pt;margin-top:15pt;height:144pt;width:144pt;mso-position-horizontal-relative:margin;mso-wrap-style:none;z-index:251662336;mso-width-relative:page;mso-height-relative:page;" filled="f" stroked="f" coordsize="21600,21600" o:gfxdata="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72409UAAAAKAQAADwAAAAAAAAABACAAAAAiAAAAZHJzL2Rv&#10;d25yZXYueG1sUEsBAhQAFAAAAAgAh07iQHBDZwXLAQAAnAMAAA4AAAAAAAAAAQAgAAAAJAEAAGRy&#10;cy9lMm9Eb2MueG1sUEsFBgAAAAAGAAYAWQEAAGEFAAAAAA==&#10;">
              <v:fill on="f" focussize="0,0"/>
              <v:stroke on="f"/>
              <v:imagedata o:title=""/>
              <o:lock v:ext="edit" aspectratio="f"/>
              <v:textbox inset="0mm,0mm,0mm,0mm" style="mso-fit-shape-to-text:t;">
                <w:txbxContent>
                  <w:p>
                    <w:pPr>
                      <w:pStyle w:val="7"/>
                      <w:rPr>
                        <w:rFonts w:hint="eastAsia" w:ascii="隶书" w:hAnsi="隶书" w:eastAsia="隶书" w:cs="隶书"/>
                        <w:sz w:val="21"/>
                        <w:szCs w:val="21"/>
                      </w:rPr>
                    </w:pPr>
                    <w:r>
                      <w:rPr>
                        <w:rFonts w:hint="eastAsia" w:ascii="隶书" w:hAnsi="隶书" w:eastAsia="隶书" w:cs="隶书"/>
                        <w:sz w:val="21"/>
                        <w:szCs w:val="21"/>
                      </w:rPr>
                      <w:t xml:space="preserve">第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PAGE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2</w:t>
                    </w:r>
                    <w:r>
                      <w:rPr>
                        <w:rFonts w:hint="eastAsia" w:ascii="隶书" w:hAnsi="隶书" w:eastAsia="隶书" w:cs="隶书"/>
                        <w:sz w:val="21"/>
                        <w:szCs w:val="21"/>
                      </w:rPr>
                      <w:fldChar w:fldCharType="end"/>
                    </w:r>
                    <w:r>
                      <w:rPr>
                        <w:rFonts w:hint="eastAsia" w:ascii="隶书" w:hAnsi="隶书" w:eastAsia="隶书" w:cs="隶书"/>
                        <w:sz w:val="21"/>
                        <w:szCs w:val="21"/>
                      </w:rPr>
                      <w:t xml:space="preserve"> 页 共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NUMPAGES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16</w:t>
                    </w:r>
                    <w:r>
                      <w:rPr>
                        <w:rFonts w:hint="eastAsia" w:ascii="隶书" w:hAnsi="隶书" w:eastAsia="隶书" w:cs="隶书"/>
                        <w:sz w:val="21"/>
                        <w:szCs w:val="21"/>
                      </w:rPr>
                      <w:fldChar w:fldCharType="end"/>
                    </w:r>
                    <w:r>
                      <w:rPr>
                        <w:rFonts w:hint="eastAsia" w:ascii="隶书" w:hAnsi="隶书" w:eastAsia="隶书" w:cs="隶书"/>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Align="inline"/>
      <w:widowControl/>
      <w:snapToGrid w:val="0"/>
      <w:jc w:val="left"/>
      <w:textAlignment w:val="baseline"/>
      <w:rPr>
        <w:rStyle w:val="19"/>
        <w:kern w:val="2"/>
        <w:sz w:val="18"/>
        <w:szCs w:val="18"/>
        <w:lang w:val="en-US" w:eastAsia="zh-CN" w:bidi="ar-SA"/>
      </w:rPr>
    </w:pPr>
  </w:p>
  <w:p>
    <w:pPr>
      <w:pStyle w:val="7"/>
      <w:widowControl/>
      <w:snapToGrid w:val="0"/>
      <w:ind w:right="360"/>
      <w:jc w:val="left"/>
      <w:textAlignment w:val="baseline"/>
      <w:rPr>
        <w:rStyle w:val="14"/>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textAlignment w:val="baseline"/>
      <w:rPr>
        <w:rStyle w:val="14"/>
        <w:rFonts w:ascii="隶书" w:eastAsia="隶书"/>
        <w:b/>
        <w:i/>
        <w:iCs/>
        <w:kern w:val="2"/>
        <w:sz w:val="18"/>
        <w:szCs w:val="24"/>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f2aMsBAACcAwAADgAAAGRycy9lMm9Eb2MueG1srVPNjtMwEL4j8Q6W&#10;79RpQ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tH9mjLAQAAnAMAAA4AAAAAAAAAAQAgAAAAHgEAAGRycy9lMm9E&#10;b2MueG1sUEsFBgAAAAAGAAYAWQEAAFs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r>
      <w:rPr>
        <w:rStyle w:val="14"/>
        <w:rFonts w:ascii="隶书" w:eastAsia="隶书"/>
        <w:b/>
        <w:i/>
        <w:iCs/>
        <w:kern w:val="2"/>
        <w:sz w:val="18"/>
        <w:szCs w:val="24"/>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149225</wp:posOffset>
              </wp:positionV>
              <wp:extent cx="5257800" cy="0"/>
              <wp:effectExtent l="0" t="0" r="0" b="0"/>
              <wp:wrapNone/>
              <wp:docPr id="1" name="直线 102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5" o:spid="_x0000_s1026" o:spt="20" style="position:absolute;left:0pt;margin-left:0pt;margin-top:11.75pt;height:0pt;width:414pt;z-index:251659264;mso-width-relative:page;mso-height-relative:page;" filled="f" stroked="t" coordsize="21600,21600" o:gfxdata="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tM5/TAAAA&#10;BgEAAA8AAAAAAAAAAQAgAAAAIgAAAGRycy9kb3ducmV2LnhtbFBLAQIUABQAAAAIAIdO4kCZnIJF&#10;6QEAAN4DAAAOAAAAAAAAAAEAIAAAACIBAABkcnMvZTJvRG9jLnhtbFBLBQYAAAAABgAGAFkBAAB9&#10;BQAAAAA=&#10;">
              <v:fill on="f" focussize="0,0"/>
              <v:stroke color="#000000" joinstyle="round"/>
              <v:imagedata o:title=""/>
              <o:lock v:ext="edit" aspectratio="f"/>
            </v:line>
          </w:pict>
        </mc:Fallback>
      </mc:AlternateContent>
    </w:r>
  </w:p>
  <w:p>
    <w:pPr>
      <w:ind w:left="6256" w:hanging="6255" w:hangingChars="2979"/>
      <w:jc w:val="both"/>
      <w:textAlignment w:val="baseline"/>
      <w:rPr>
        <w:rStyle w:val="14"/>
        <w:rFonts w:ascii="隶书" w:eastAsia="隶书"/>
        <w:i/>
        <w:iCs/>
        <w:kern w:val="2"/>
        <w:sz w:val="21"/>
        <w:szCs w:val="21"/>
        <w:lang w:val="en-US" w:eastAsia="zh-CN" w:bidi="ar-SA"/>
      </w:rPr>
    </w:pPr>
    <w:r>
      <w:rPr>
        <w:rStyle w:val="14"/>
        <w:rFonts w:ascii="隶书" w:eastAsia="隶书"/>
        <w:i/>
        <w:iCs/>
        <w:kern w:val="2"/>
        <w:sz w:val="21"/>
        <w:szCs w:val="21"/>
        <w:lang w:bidi="ar-SA"/>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86995</wp:posOffset>
          </wp:positionV>
          <wp:extent cx="914400" cy="481965"/>
          <wp:effectExtent l="0" t="0" r="0" b="5715"/>
          <wp:wrapNone/>
          <wp:docPr id="3" name="图片 1026"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6" descr="标"/>
                  <pic:cNvPicPr>
                    <a:picLocks noChangeAspect="1"/>
                  </pic:cNvPicPr>
                </pic:nvPicPr>
                <pic:blipFill>
                  <a:blip r:embed="rId1"/>
                  <a:stretch>
                    <a:fillRect/>
                  </a:stretch>
                </pic:blipFill>
                <pic:spPr>
                  <a:xfrm>
                    <a:off x="0" y="0"/>
                    <a:ext cx="914400" cy="481965"/>
                  </a:xfrm>
                  <a:prstGeom prst="rect">
                    <a:avLst/>
                  </a:prstGeom>
                  <a:noFill/>
                  <a:ln>
                    <a:noFill/>
                  </a:ln>
                </pic:spPr>
              </pic:pic>
            </a:graphicData>
          </a:graphic>
        </wp:anchor>
      </w:drawing>
    </w:r>
    <w:r>
      <w:rPr>
        <w:rStyle w:val="14"/>
        <w:rFonts w:ascii="隶书" w:eastAsia="隶书"/>
        <w:i/>
        <w:iCs/>
        <w:kern w:val="2"/>
        <w:sz w:val="21"/>
        <w:szCs w:val="21"/>
        <w:lang w:val="en-US" w:eastAsia="zh-CN" w:bidi="ar-SA"/>
      </w:rPr>
      <w:t xml:space="preserve">地址：黑龙江省哈尔滨市南岗区红旗大街160号  北辰国际1706室       </w:t>
    </w:r>
  </w:p>
  <w:p>
    <w:pPr>
      <w:ind w:left="6256" w:hanging="6255" w:hangingChars="2979"/>
      <w:jc w:val="both"/>
      <w:textAlignment w:val="baseline"/>
      <w:rPr>
        <w:rStyle w:val="14"/>
        <w:rFonts w:ascii="隶书" w:eastAsia="隶书"/>
        <w:i/>
        <w:iCs/>
        <w:kern w:val="2"/>
        <w:sz w:val="21"/>
        <w:szCs w:val="21"/>
        <w:lang w:val="en-US" w:eastAsia="zh-CN" w:bidi="ar-SA"/>
      </w:rPr>
    </w:pPr>
    <w:r>
      <w:rPr>
        <w:rStyle w:val="14"/>
        <w:rFonts w:ascii="隶书" w:eastAsia="隶书"/>
        <w:i/>
        <w:iCs/>
        <w:kern w:val="2"/>
        <w:sz w:val="21"/>
        <w:szCs w:val="21"/>
        <w:lang w:val="en-US" w:eastAsia="zh-CN" w:bidi="ar-SA"/>
      </w:rPr>
      <w:t>邮政编码：150090</w:t>
    </w:r>
  </w:p>
  <w:p>
    <w:pPr>
      <w:ind w:left="6256" w:hanging="6255" w:hangingChars="2979"/>
      <w:jc w:val="both"/>
      <w:textAlignment w:val="baseline"/>
      <w:rPr>
        <w:rStyle w:val="14"/>
        <w:rFonts w:ascii="隶书" w:eastAsia="隶书"/>
        <w:i/>
        <w:iCs/>
        <w:kern w:val="2"/>
        <w:sz w:val="21"/>
        <w:szCs w:val="21"/>
        <w:lang w:val="en-US" w:eastAsia="zh-CN" w:bidi="ar-SA"/>
      </w:rPr>
    </w:pPr>
    <w:r>
      <w:rPr>
        <w:rStyle w:val="14"/>
        <w:rFonts w:ascii="隶书" w:eastAsia="隶书"/>
        <w:i/>
        <w:iCs/>
        <w:kern w:val="2"/>
        <w:sz w:val="21"/>
        <w:szCs w:val="21"/>
        <w:lang w:val="en-US" w:eastAsia="zh-CN" w:bidi="ar-SA"/>
      </w:rPr>
      <w:t xml:space="preserve">电话：0451—82601800 </w:t>
    </w:r>
  </w:p>
  <w:p>
    <w:pPr>
      <w:jc w:val="both"/>
      <w:textAlignment w:val="baseline"/>
      <w:rPr>
        <w:rStyle w:val="14"/>
        <w:rFonts w:ascii="隶书" w:eastAsia="隶书"/>
        <w:b/>
        <w:i/>
        <w:iCs/>
        <w:kern w:val="2"/>
        <w:sz w:val="18"/>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ind w:firstLine="1932" w:firstLineChars="690"/>
      <w:jc w:val="right"/>
      <w:textAlignment w:val="baseline"/>
      <w:rPr>
        <w:rStyle w:val="14"/>
        <w:rFonts w:eastAsia="隶书"/>
        <w:i/>
        <w:kern w:val="2"/>
        <w:sz w:val="28"/>
        <w:szCs w:val="28"/>
        <w:lang w:val="en-US" w:eastAsia="zh-CN" w:bidi="ar-SA"/>
      </w:rPr>
    </w:pPr>
    <w:r>
      <w:rPr>
        <w:rStyle w:val="14"/>
        <w:rFonts w:eastAsia="隶书"/>
        <w:i/>
        <w:kern w:val="2"/>
        <w:sz w:val="28"/>
        <w:szCs w:val="28"/>
        <w:lang w:bidi="ar-SA"/>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26670</wp:posOffset>
          </wp:positionV>
          <wp:extent cx="914400" cy="481965"/>
          <wp:effectExtent l="0" t="0" r="0" b="5715"/>
          <wp:wrapNone/>
          <wp:docPr id="4" name="图片 1027"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7" descr="标"/>
                  <pic:cNvPicPr>
                    <a:picLocks noChangeAspect="1"/>
                  </pic:cNvPicPr>
                </pic:nvPicPr>
                <pic:blipFill>
                  <a:blip r:embed="rId1"/>
                  <a:stretch>
                    <a:fillRect/>
                  </a:stretch>
                </pic:blipFill>
                <pic:spPr>
                  <a:xfrm>
                    <a:off x="0" y="0"/>
                    <a:ext cx="914400" cy="481965"/>
                  </a:xfrm>
                  <a:prstGeom prst="rect">
                    <a:avLst/>
                  </a:prstGeom>
                  <a:noFill/>
                  <a:ln>
                    <a:noFill/>
                  </a:ln>
                </pic:spPr>
              </pic:pic>
            </a:graphicData>
          </a:graphic>
        </wp:anchor>
      </w:drawing>
    </w:r>
    <w:r>
      <w:rPr>
        <w:rStyle w:val="14"/>
        <w:rFonts w:eastAsia="隶书"/>
        <w:i/>
        <w:kern w:val="2"/>
        <w:sz w:val="28"/>
        <w:szCs w:val="28"/>
        <w:lang w:val="en-US" w:eastAsia="zh-CN" w:bidi="ar-SA"/>
      </w:rPr>
      <w:t>黑龙江至圣会计师事务所有限责任公司</w:t>
    </w:r>
  </w:p>
  <w:p>
    <w:pPr>
      <w:ind w:left="6256" w:hanging="6255" w:hangingChars="2979"/>
      <w:jc w:val="right"/>
      <w:textAlignment w:val="baseline"/>
      <w:rPr>
        <w:rStyle w:val="14"/>
        <w:rFonts w:ascii="隶书" w:eastAsia="隶书"/>
        <w:i/>
        <w:iCs/>
        <w:kern w:val="2"/>
        <w:sz w:val="21"/>
        <w:szCs w:val="21"/>
        <w:lang w:val="en-US" w:eastAsia="zh-CN" w:bidi="ar-SA"/>
      </w:rPr>
    </w:pPr>
    <w:r>
      <w:rPr>
        <w:rStyle w:val="14"/>
        <w:rFonts w:ascii="隶书" w:eastAsia="隶书"/>
        <w:i/>
        <w:iCs/>
        <w:kern w:val="2"/>
        <w:sz w:val="21"/>
        <w:szCs w:val="21"/>
        <w:lang w:val="en-US" w:eastAsia="zh-CN" w:bidi="ar-SA"/>
      </w:rPr>
      <w:t>地址：黑龙江省哈尔滨市南岗区红旗大街160号北辰国际1706室</w:t>
    </w:r>
  </w:p>
  <w:p>
    <w:pPr>
      <w:ind w:left="6256" w:hanging="6255" w:hangingChars="2979"/>
      <w:jc w:val="right"/>
      <w:textAlignment w:val="baseline"/>
      <w:rPr>
        <w:rStyle w:val="14"/>
        <w:rFonts w:ascii="隶书" w:eastAsia="隶书"/>
        <w:i/>
        <w:iCs/>
        <w:kern w:val="2"/>
        <w:sz w:val="21"/>
        <w:szCs w:val="21"/>
        <w:lang w:val="en-US" w:eastAsia="zh-CN" w:bidi="ar-SA"/>
      </w:rPr>
    </w:pPr>
    <w:r>
      <w:rPr>
        <w:rStyle w:val="14"/>
        <w:rFonts w:ascii="隶书" w:eastAsia="隶书"/>
        <w:i/>
        <w:iCs/>
        <w:kern w:val="2"/>
        <w:sz w:val="21"/>
        <w:szCs w:val="21"/>
        <w:lang w:val="en-US" w:eastAsia="zh-CN" w:bidi="ar-SA"/>
      </w:rPr>
      <w:t>邮政编码：150090    电话：0451—82601800</w:t>
    </w:r>
  </w:p>
  <w:p>
    <w:pPr>
      <w:tabs>
        <w:tab w:val="left" w:pos="5325"/>
        <w:tab w:val="right" w:pos="8312"/>
      </w:tabs>
      <w:ind w:left="8374" w:hanging="8345" w:hangingChars="2979"/>
      <w:jc w:val="left"/>
      <w:textAlignment w:val="baseline"/>
      <w:rPr>
        <w:rStyle w:val="14"/>
        <w:rFonts w:eastAsia="隶书"/>
        <w:b/>
        <w:i/>
        <w:kern w:val="2"/>
        <w:sz w:val="28"/>
        <w:szCs w:val="28"/>
        <w:lang w:val="en-US" w:eastAsia="zh-CN" w:bidi="ar-SA"/>
      </w:rPr>
    </w:pPr>
    <w:r>
      <w:rPr>
        <w:rStyle w:val="14"/>
        <w:rFonts w:eastAsia="隶书"/>
        <w:b/>
        <w:i/>
        <w:kern w:val="2"/>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143510</wp:posOffset>
              </wp:positionV>
              <wp:extent cx="5486400" cy="0"/>
              <wp:effectExtent l="0" t="0" r="0" b="0"/>
              <wp:wrapNone/>
              <wp:docPr id="2" name="直线 1028"/>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9pt;margin-top:11.3pt;height:0pt;width:432pt;z-index:251659264;mso-width-relative:page;mso-height-relative:page;" filled="f" stroked="t" coordsize="21600,21600" o:gfxdata="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Msm&#10;u9cAAAAJAQAADwAAAAAAAAABACAAAAAiAAAAZHJzL2Rvd25yZXYueG1sUEsBAhQAFAAAAAgAh07i&#10;QDAgnOHqAQAA3wMAAA4AAAAAAAAAAQAgAAAAJgEAAGRycy9lMm9Eb2MueG1sUEsFBgAAAAAGAAYA&#10;WQEAAIIFAAAAAA==&#10;">
              <v:fill on="f" focussize="0,0"/>
              <v:stroke weight="1pt" color="#000000" joinstyle="round"/>
              <v:imagedata o:title=""/>
              <o:lock v:ext="edit" aspectratio="f"/>
            </v:line>
          </w:pict>
        </mc:Fallback>
      </mc:AlternateContent>
    </w:r>
    <w:r>
      <w:rPr>
        <w:rStyle w:val="14"/>
        <w:rFonts w:ascii="隶书" w:eastAsia="隶书"/>
        <w:b/>
        <w:i/>
        <w:iCs/>
        <w:kern w:val="2"/>
        <w:sz w:val="21"/>
        <w:szCs w:val="21"/>
        <w:lang w:val="en-US" w:eastAsia="zh-CN" w:bidi="ar-SA"/>
      </w:rPr>
      <w:tab/>
    </w:r>
    <w:r>
      <w:rPr>
        <w:rStyle w:val="14"/>
        <w:rFonts w:ascii="隶书" w:eastAsia="隶书"/>
        <w:b/>
        <w:i/>
        <w:iCs/>
        <w:kern w:val="2"/>
        <w:sz w:val="21"/>
        <w:szCs w:val="21"/>
        <w:lang w:val="en-US" w:eastAsia="zh-CN" w:bidi="ar-S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942" w:leftChars="112" w:hanging="707" w:hangingChars="149"/>
      <w:jc w:val="both"/>
      <w:textAlignment w:val="baseline"/>
      <w:rPr>
        <w:rStyle w:val="14"/>
        <w:rFonts w:ascii="黑体" w:hAnsi="MS UI Gothic" w:eastAsia="黑体"/>
        <w:w w:val="66"/>
        <w:kern w:val="2"/>
        <w:sz w:val="72"/>
        <w:szCs w:val="72"/>
        <w:lang w:val="en-US" w:eastAsia="zh-CN" w:bidi="ar-SA"/>
      </w:rPr>
    </w:pPr>
    <w:r>
      <w:rPr>
        <w:rStyle w:val="14"/>
        <w:rFonts w:ascii="黑体" w:eastAsia="黑体"/>
        <w:w w:val="66"/>
        <w:kern w:val="2"/>
        <w:sz w:val="72"/>
        <w:szCs w:val="72"/>
        <w:lang w:val="en-US" w:eastAsia="zh-CN" w:bidi="ar-SA"/>
      </w:rPr>
      <w:t xml:space="preserve">黑龙江至圣会计师事务所有限责任公司 </w:t>
    </w:r>
  </w:p>
  <w:p>
    <w:pPr>
      <w:pStyle w:val="22"/>
      <w:widowControl/>
      <w:spacing w:after="120"/>
      <w:jc w:val="center"/>
      <w:textAlignment w:val="baseline"/>
      <w:rPr>
        <w:rStyle w:val="14"/>
        <w:b/>
        <w:szCs w:val="21"/>
      </w:rPr>
    </w:pPr>
    <w:r>
      <w:rPr>
        <w:rStyle w:val="14"/>
        <w:b/>
        <w:szCs w:val="21"/>
      </w:rPr>
      <w:t xml:space="preserve"> HEILONGJIANG  ZHISHENG  ACCOUNTANTS  BUSINESS  OFFICE CO.,LTD</w:t>
    </w:r>
  </w:p>
  <w:p>
    <w:pPr>
      <w:pStyle w:val="8"/>
      <w:widowControl/>
      <w:pBdr>
        <w:bottom w:val="single" w:color="000000" w:sz="6" w:space="1"/>
      </w:pBdr>
      <w:snapToGrid w:val="0"/>
      <w:jc w:val="center"/>
      <w:textAlignment w:val="baseline"/>
      <w:rPr>
        <w:rStyle w:val="14"/>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GRjMWExZDEzMjVjNDBkZTcwNmQ5Nzk2ZjJmNjYifQ=="/>
  </w:docVars>
  <w:rsids>
    <w:rsidRoot w:val="00000000"/>
    <w:rsid w:val="01655E65"/>
    <w:rsid w:val="023B3BE5"/>
    <w:rsid w:val="023E3084"/>
    <w:rsid w:val="02B156C5"/>
    <w:rsid w:val="04263D68"/>
    <w:rsid w:val="065628C5"/>
    <w:rsid w:val="06D73A10"/>
    <w:rsid w:val="07667FF2"/>
    <w:rsid w:val="083D41F7"/>
    <w:rsid w:val="08892397"/>
    <w:rsid w:val="091D4E4F"/>
    <w:rsid w:val="093F6F9B"/>
    <w:rsid w:val="09A028E1"/>
    <w:rsid w:val="09FB1AC2"/>
    <w:rsid w:val="0A2F48C2"/>
    <w:rsid w:val="0B146AB7"/>
    <w:rsid w:val="0B7E06E0"/>
    <w:rsid w:val="0E540BAC"/>
    <w:rsid w:val="0F845041"/>
    <w:rsid w:val="10A818CA"/>
    <w:rsid w:val="10D02B0C"/>
    <w:rsid w:val="114710E3"/>
    <w:rsid w:val="123513DC"/>
    <w:rsid w:val="14521DA1"/>
    <w:rsid w:val="14C80402"/>
    <w:rsid w:val="14E778A9"/>
    <w:rsid w:val="157E0E4B"/>
    <w:rsid w:val="158477A1"/>
    <w:rsid w:val="15C727F2"/>
    <w:rsid w:val="15FF6AF4"/>
    <w:rsid w:val="17EB0E13"/>
    <w:rsid w:val="190B2792"/>
    <w:rsid w:val="1B4212A7"/>
    <w:rsid w:val="1E5654AE"/>
    <w:rsid w:val="1F630253"/>
    <w:rsid w:val="1F796FD5"/>
    <w:rsid w:val="1F926601"/>
    <w:rsid w:val="20F51679"/>
    <w:rsid w:val="20FF53CA"/>
    <w:rsid w:val="21546741"/>
    <w:rsid w:val="22743D02"/>
    <w:rsid w:val="229D1DA7"/>
    <w:rsid w:val="22CF0AA6"/>
    <w:rsid w:val="22DD4DF8"/>
    <w:rsid w:val="23290A87"/>
    <w:rsid w:val="24307E33"/>
    <w:rsid w:val="249C2E52"/>
    <w:rsid w:val="24BE1220"/>
    <w:rsid w:val="25271233"/>
    <w:rsid w:val="25EA0154"/>
    <w:rsid w:val="277F0AB0"/>
    <w:rsid w:val="27802801"/>
    <w:rsid w:val="283F1871"/>
    <w:rsid w:val="29A12E7A"/>
    <w:rsid w:val="29C333FF"/>
    <w:rsid w:val="2A077678"/>
    <w:rsid w:val="2A3049B2"/>
    <w:rsid w:val="2AA22074"/>
    <w:rsid w:val="2AC24756"/>
    <w:rsid w:val="2B076AA9"/>
    <w:rsid w:val="2B800319"/>
    <w:rsid w:val="2C40598D"/>
    <w:rsid w:val="2C890F3A"/>
    <w:rsid w:val="2CAC730B"/>
    <w:rsid w:val="2CF8068F"/>
    <w:rsid w:val="2EBA1F7D"/>
    <w:rsid w:val="2F065DD3"/>
    <w:rsid w:val="2F561FC3"/>
    <w:rsid w:val="2F77273B"/>
    <w:rsid w:val="312A45EE"/>
    <w:rsid w:val="3144244E"/>
    <w:rsid w:val="3200727B"/>
    <w:rsid w:val="32562CF3"/>
    <w:rsid w:val="32895747"/>
    <w:rsid w:val="331A1D5C"/>
    <w:rsid w:val="33446FA1"/>
    <w:rsid w:val="339F5E07"/>
    <w:rsid w:val="33B94466"/>
    <w:rsid w:val="33CA20B6"/>
    <w:rsid w:val="347B2A5F"/>
    <w:rsid w:val="34873421"/>
    <w:rsid w:val="34D61C7F"/>
    <w:rsid w:val="35B93AAE"/>
    <w:rsid w:val="360D0068"/>
    <w:rsid w:val="372F2BD6"/>
    <w:rsid w:val="3781261D"/>
    <w:rsid w:val="38597582"/>
    <w:rsid w:val="3A240899"/>
    <w:rsid w:val="3A5275A2"/>
    <w:rsid w:val="3B2634C0"/>
    <w:rsid w:val="3CEC4BC9"/>
    <w:rsid w:val="3DC92BFF"/>
    <w:rsid w:val="3F696262"/>
    <w:rsid w:val="40330901"/>
    <w:rsid w:val="41432DC5"/>
    <w:rsid w:val="41AF3FB7"/>
    <w:rsid w:val="422E1081"/>
    <w:rsid w:val="424B2D70"/>
    <w:rsid w:val="42BB1054"/>
    <w:rsid w:val="43143CD2"/>
    <w:rsid w:val="437512C3"/>
    <w:rsid w:val="44600638"/>
    <w:rsid w:val="449C403E"/>
    <w:rsid w:val="45712142"/>
    <w:rsid w:val="478342E4"/>
    <w:rsid w:val="47A619AA"/>
    <w:rsid w:val="47F33468"/>
    <w:rsid w:val="4829318F"/>
    <w:rsid w:val="48673535"/>
    <w:rsid w:val="48920AF8"/>
    <w:rsid w:val="49765607"/>
    <w:rsid w:val="4A6714D3"/>
    <w:rsid w:val="4A8651B9"/>
    <w:rsid w:val="4B283F33"/>
    <w:rsid w:val="4B29568C"/>
    <w:rsid w:val="4BB7246F"/>
    <w:rsid w:val="4C2505F2"/>
    <w:rsid w:val="4C837FA6"/>
    <w:rsid w:val="4CAC5CC3"/>
    <w:rsid w:val="4CCE2327"/>
    <w:rsid w:val="4D435475"/>
    <w:rsid w:val="4DE66506"/>
    <w:rsid w:val="4DF23BA9"/>
    <w:rsid w:val="4E54356D"/>
    <w:rsid w:val="4F476BB0"/>
    <w:rsid w:val="4F69568A"/>
    <w:rsid w:val="4F9C7B5B"/>
    <w:rsid w:val="50834F8C"/>
    <w:rsid w:val="52C97F8B"/>
    <w:rsid w:val="52E95598"/>
    <w:rsid w:val="5430228F"/>
    <w:rsid w:val="54F67DD3"/>
    <w:rsid w:val="57FD7DCF"/>
    <w:rsid w:val="58365C18"/>
    <w:rsid w:val="588C48E9"/>
    <w:rsid w:val="591E3AA4"/>
    <w:rsid w:val="59C86B3A"/>
    <w:rsid w:val="5A3E25D4"/>
    <w:rsid w:val="5A4429FB"/>
    <w:rsid w:val="5AFD29F8"/>
    <w:rsid w:val="5B3255E5"/>
    <w:rsid w:val="5C5C582A"/>
    <w:rsid w:val="5C6C3084"/>
    <w:rsid w:val="5C8005D2"/>
    <w:rsid w:val="5C82259C"/>
    <w:rsid w:val="5C8B1540"/>
    <w:rsid w:val="5CBD0DE0"/>
    <w:rsid w:val="5CDF4595"/>
    <w:rsid w:val="5E80242A"/>
    <w:rsid w:val="5EE4753E"/>
    <w:rsid w:val="5F3961B5"/>
    <w:rsid w:val="5F8F74AA"/>
    <w:rsid w:val="60205B2F"/>
    <w:rsid w:val="612302F4"/>
    <w:rsid w:val="6148314D"/>
    <w:rsid w:val="61D2715D"/>
    <w:rsid w:val="62472075"/>
    <w:rsid w:val="625C73EB"/>
    <w:rsid w:val="627877D0"/>
    <w:rsid w:val="634265E1"/>
    <w:rsid w:val="635050A2"/>
    <w:rsid w:val="63823F87"/>
    <w:rsid w:val="65B732B6"/>
    <w:rsid w:val="660109D5"/>
    <w:rsid w:val="683F2B36"/>
    <w:rsid w:val="68AA5A74"/>
    <w:rsid w:val="68E6495E"/>
    <w:rsid w:val="69674FF3"/>
    <w:rsid w:val="696C226C"/>
    <w:rsid w:val="69E01D5E"/>
    <w:rsid w:val="6A927E4E"/>
    <w:rsid w:val="6C391B9F"/>
    <w:rsid w:val="6D4E5EF4"/>
    <w:rsid w:val="6DF961FC"/>
    <w:rsid w:val="6E197391"/>
    <w:rsid w:val="6F047DB6"/>
    <w:rsid w:val="708B5CBE"/>
    <w:rsid w:val="7111643D"/>
    <w:rsid w:val="7119627A"/>
    <w:rsid w:val="715A543E"/>
    <w:rsid w:val="71A52B5D"/>
    <w:rsid w:val="71D465DA"/>
    <w:rsid w:val="72C76B03"/>
    <w:rsid w:val="737C78ED"/>
    <w:rsid w:val="73F666D6"/>
    <w:rsid w:val="743E7F39"/>
    <w:rsid w:val="74B9593C"/>
    <w:rsid w:val="756E3266"/>
    <w:rsid w:val="761938F1"/>
    <w:rsid w:val="761E6C55"/>
    <w:rsid w:val="7677065A"/>
    <w:rsid w:val="76DB206E"/>
    <w:rsid w:val="77421C3F"/>
    <w:rsid w:val="780D771E"/>
    <w:rsid w:val="78322234"/>
    <w:rsid w:val="78481FD3"/>
    <w:rsid w:val="78DC5048"/>
    <w:rsid w:val="791E2B16"/>
    <w:rsid w:val="7941140D"/>
    <w:rsid w:val="794762E6"/>
    <w:rsid w:val="797F3A8C"/>
    <w:rsid w:val="79EF706B"/>
    <w:rsid w:val="7B0A57DF"/>
    <w:rsid w:val="7C6A3A03"/>
    <w:rsid w:val="7CAF25AA"/>
    <w:rsid w:val="7D5B6385"/>
    <w:rsid w:val="7DC9394D"/>
    <w:rsid w:val="7DCE2E77"/>
    <w:rsid w:val="7F0B093A"/>
    <w:rsid w:val="7F6063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Body Text Indent"/>
    <w:basedOn w:val="1"/>
    <w:qFormat/>
    <w:uiPriority w:val="0"/>
    <w:pPr>
      <w:spacing w:line="120" w:lineRule="auto"/>
      <w:ind w:left="-279" w:leftChars="-133" w:firstLine="560" w:firstLineChars="200"/>
    </w:pPr>
    <w:rPr>
      <w:rFonts w:ascii="宋体" w:hAnsi="宋体"/>
      <w:sz w:val="28"/>
    </w:rPr>
  </w:style>
  <w:style w:type="paragraph" w:styleId="7">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8">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qFormat/>
    <w:uiPriority w:val="0"/>
    <w:pPr>
      <w:ind w:firstLine="420" w:firstLineChars="200"/>
    </w:pPr>
    <w:rPr>
      <w:rFonts w:ascii="Times New Roman" w:hAnsi="Times New Roman" w:eastAsia="宋体" w:cs="Times New Roman"/>
    </w:rPr>
  </w:style>
  <w:style w:type="character" w:styleId="13">
    <w:name w:val="Strong"/>
    <w:basedOn w:val="14"/>
    <w:link w:val="1"/>
    <w:qFormat/>
    <w:uiPriority w:val="0"/>
    <w:rPr>
      <w:b/>
    </w:rPr>
  </w:style>
  <w:style w:type="character" w:customStyle="1" w:styleId="14">
    <w:name w:val="NormalCharacter"/>
    <w:link w:val="1"/>
    <w:semiHidden/>
    <w:qFormat/>
    <w:uiPriority w:val="0"/>
  </w:style>
  <w:style w:type="character" w:styleId="15">
    <w:name w:val="Hyperlink"/>
    <w:basedOn w:val="12"/>
    <w:link w:val="1"/>
    <w:qFormat/>
    <w:uiPriority w:val="0"/>
    <w:rPr>
      <w:color w:val="0000FF"/>
      <w:u w:val="single"/>
    </w:rPr>
  </w:style>
  <w:style w:type="table" w:customStyle="1" w:styleId="16">
    <w:name w:val="TableNormal"/>
    <w:semiHidden/>
    <w:qFormat/>
    <w:uiPriority w:val="0"/>
  </w:style>
  <w:style w:type="character" w:customStyle="1" w:styleId="17">
    <w:name w:val="UserStyle_0"/>
    <w:basedOn w:val="14"/>
    <w:link w:val="1"/>
    <w:qFormat/>
    <w:uiPriority w:val="0"/>
    <w:rPr>
      <w:rFonts w:ascii="宋体" w:hAnsi="宋体" w:eastAsia="宋体"/>
      <w:b/>
      <w:color w:val="000000"/>
      <w:sz w:val="24"/>
      <w:szCs w:val="24"/>
    </w:rPr>
  </w:style>
  <w:style w:type="character" w:customStyle="1" w:styleId="18">
    <w:name w:val="UserStyle_1"/>
    <w:basedOn w:val="14"/>
    <w:link w:val="1"/>
    <w:qFormat/>
    <w:uiPriority w:val="0"/>
    <w:rPr>
      <w:rFonts w:ascii="宋体" w:hAnsi="宋体" w:eastAsia="宋体"/>
      <w:b/>
      <w:color w:val="000000"/>
      <w:sz w:val="24"/>
      <w:szCs w:val="24"/>
    </w:rPr>
  </w:style>
  <w:style w:type="character" w:customStyle="1" w:styleId="19">
    <w:name w:val="PageNumber"/>
    <w:basedOn w:val="14"/>
    <w:link w:val="1"/>
    <w:qFormat/>
    <w:uiPriority w:val="0"/>
  </w:style>
  <w:style w:type="character" w:customStyle="1" w:styleId="20">
    <w:name w:val="UserStyle_2"/>
    <w:basedOn w:val="14"/>
    <w:link w:val="1"/>
    <w:qFormat/>
    <w:uiPriority w:val="0"/>
    <w:rPr>
      <w:rFonts w:ascii="宋体" w:hAnsi="宋体" w:eastAsia="宋体"/>
      <w:color w:val="000000"/>
      <w:sz w:val="20"/>
      <w:szCs w:val="20"/>
    </w:rPr>
  </w:style>
  <w:style w:type="paragraph" w:customStyle="1" w:styleId="21">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22">
    <w:name w:val="BodyText"/>
    <w:basedOn w:val="1"/>
    <w:qFormat/>
    <w:uiPriority w:val="0"/>
    <w:pPr>
      <w:spacing w:after="120"/>
      <w:jc w:val="both"/>
      <w:textAlignment w:val="baseline"/>
    </w:pPr>
  </w:style>
  <w:style w:type="paragraph" w:customStyle="1" w:styleId="23">
    <w:name w:val="PlainText"/>
    <w:basedOn w:val="1"/>
    <w:qFormat/>
    <w:uiPriority w:val="0"/>
    <w:pPr>
      <w:jc w:val="both"/>
      <w:textAlignment w:val="baseline"/>
    </w:pPr>
    <w:rPr>
      <w:rFonts w:ascii="宋体" w:hAnsi="Courier New"/>
      <w:kern w:val="2"/>
      <w:sz w:val="24"/>
      <w:szCs w:val="20"/>
      <w:lang w:val="en-US" w:eastAsia="zh-CN" w:bidi="ar-SA"/>
    </w:rPr>
  </w:style>
  <w:style w:type="paragraph" w:customStyle="1" w:styleId="24">
    <w:name w:val="BodyTextIndent"/>
    <w:basedOn w:val="1"/>
    <w:qFormat/>
    <w:uiPriority w:val="0"/>
    <w:pPr>
      <w:spacing w:after="120"/>
      <w:ind w:left="420" w:leftChars="200"/>
      <w:jc w:val="both"/>
      <w:textAlignment w:val="baseline"/>
    </w:pPr>
    <w:rPr>
      <w:kern w:val="2"/>
      <w:sz w:val="21"/>
      <w:szCs w:val="20"/>
      <w:lang w:val="en-US" w:eastAsia="zh-CN" w:bidi="ar-SA"/>
    </w:rPr>
  </w:style>
  <w:style w:type="paragraph" w:customStyle="1" w:styleId="25">
    <w:name w:val="AnnotationText"/>
    <w:basedOn w:val="1"/>
    <w:qFormat/>
    <w:uiPriority w:val="0"/>
    <w:pPr>
      <w:jc w:val="left"/>
      <w:textAlignment w:val="baseline"/>
    </w:pPr>
  </w:style>
  <w:style w:type="paragraph" w:customStyle="1" w:styleId="26">
    <w:name w:val="179"/>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table" w:customStyle="1" w:styleId="27">
    <w:name w:val="TableGrid"/>
    <w:basedOn w:val="16"/>
    <w:qFormat/>
    <w:uiPriority w:val="0"/>
  </w:style>
  <w:style w:type="paragraph" w:styleId="28">
    <w:name w:val="List Paragraph"/>
    <w:basedOn w:val="1"/>
    <w:qFormat/>
    <w:uiPriority w:val="34"/>
    <w:pPr>
      <w:ind w:firstLine="420" w:firstLineChars="200"/>
    </w:pPr>
  </w:style>
  <w:style w:type="paragraph" w:customStyle="1" w:styleId="29">
    <w:name w:val="正文首行缩进1"/>
    <w:basedOn w:val="5"/>
    <w:qFormat/>
    <w:uiPriority w:val="0"/>
    <w:pPr>
      <w:spacing w:line="588" w:lineRule="exact"/>
      <w:ind w:firstLine="880" w:firstLineChars="200"/>
    </w:pPr>
  </w:style>
  <w:style w:type="character" w:customStyle="1" w:styleId="30">
    <w:name w:val="font11"/>
    <w:basedOn w:val="12"/>
    <w:qFormat/>
    <w:uiPriority w:val="0"/>
    <w:rPr>
      <w:rFonts w:hint="eastAsia" w:ascii="仿宋" w:hAnsi="仿宋" w:eastAsia="仿宋" w:cs="仿宋"/>
      <w:color w:val="000000"/>
      <w:sz w:val="20"/>
      <w:szCs w:val="20"/>
      <w:u w:val="none"/>
    </w:rPr>
  </w:style>
  <w:style w:type="table" w:customStyle="1" w:styleId="3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7802</Words>
  <Characters>9904</Characters>
  <TotalTime>137</TotalTime>
  <ScaleCrop>false</ScaleCrop>
  <LinksUpToDate>false</LinksUpToDate>
  <CharactersWithSpaces>10039</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2021-08-06T01:07:00Z</dcterms:created>
  <dc:creator>lenovo</dc:creator>
  <cp:lastModifiedBy>超超</cp:lastModifiedBy>
  <cp:lastPrinted>2023-08-22T02:05:00Z</cp:lastPrinted>
  <dcterms:modified xsi:type="dcterms:W3CDTF">2023-08-22T03:06:05Z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D7160660E5A44B55873B7B1244C36B42</vt:lpwstr>
  </property>
</Properties>
</file>