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wordWrap/>
        <w:overflowPunct/>
        <w:topLinePunct w:val="0"/>
        <w:bidi w:val="0"/>
        <w:jc w:val="center"/>
        <w:rPr>
          <w:rStyle w:val="16"/>
          <w:rFonts w:hint="eastAsia" w:ascii="仿宋" w:hAnsi="仿宋" w:eastAsia="仿宋" w:cs="仿宋"/>
          <w:b/>
          <w:i w:val="0"/>
          <w:caps w:val="0"/>
          <w:spacing w:val="0"/>
          <w:w w:val="100"/>
          <w:kern w:val="2"/>
          <w:sz w:val="44"/>
          <w:szCs w:val="44"/>
          <w:highlight w:val="none"/>
          <w:lang w:val="en-US" w:eastAsia="zh-CN" w:bidi="ar-SA"/>
        </w:rPr>
      </w:pPr>
      <w:r>
        <w:rPr>
          <w:rStyle w:val="16"/>
          <w:rFonts w:hint="eastAsia" w:ascii="仿宋" w:hAnsi="仿宋" w:eastAsia="仿宋" w:cs="仿宋"/>
          <w:b/>
          <w:i w:val="0"/>
          <w:caps w:val="0"/>
          <w:spacing w:val="0"/>
          <w:w w:val="100"/>
          <w:kern w:val="2"/>
          <w:sz w:val="44"/>
          <w:szCs w:val="44"/>
          <w:highlight w:val="none"/>
          <w:lang w:val="en-US" w:eastAsia="zh-CN" w:bidi="ar-SA"/>
        </w:rPr>
        <w:t>2022年度哈尔滨新区产业引导基金</w:t>
      </w:r>
    </w:p>
    <w:p>
      <w:pPr>
        <w:pStyle w:val="11"/>
        <w:keepNext w:val="0"/>
        <w:keepLines w:val="0"/>
        <w:pageBreakBefore w:val="0"/>
        <w:widowControl w:val="0"/>
        <w:wordWrap/>
        <w:overflowPunct/>
        <w:topLinePunct w:val="0"/>
        <w:bidi w:val="0"/>
        <w:jc w:val="center"/>
        <w:rPr>
          <w:rStyle w:val="16"/>
          <w:rFonts w:hint="eastAsia" w:ascii="仿宋" w:hAnsi="仿宋" w:eastAsia="仿宋" w:cs="仿宋"/>
          <w:b/>
          <w:i w:val="0"/>
          <w:caps w:val="0"/>
          <w:spacing w:val="0"/>
          <w:w w:val="100"/>
          <w:kern w:val="2"/>
          <w:sz w:val="44"/>
          <w:szCs w:val="44"/>
          <w:highlight w:val="none"/>
          <w:lang w:val="en-US" w:eastAsia="zh-CN" w:bidi="ar-SA"/>
        </w:rPr>
      </w:pPr>
      <w:r>
        <w:rPr>
          <w:rStyle w:val="16"/>
          <w:rFonts w:hint="eastAsia" w:ascii="仿宋" w:hAnsi="仿宋" w:eastAsia="仿宋" w:cs="仿宋"/>
          <w:b/>
          <w:i w:val="0"/>
          <w:caps w:val="0"/>
          <w:spacing w:val="0"/>
          <w:w w:val="100"/>
          <w:kern w:val="2"/>
          <w:sz w:val="44"/>
          <w:szCs w:val="44"/>
          <w:highlight w:val="none"/>
          <w:lang w:val="en-US" w:eastAsia="zh-CN" w:bidi="ar-SA"/>
        </w:rPr>
        <w:t>绩效再评价报告</w:t>
      </w:r>
    </w:p>
    <w:p>
      <w:pPr>
        <w:pStyle w:val="11"/>
        <w:keepNext w:val="0"/>
        <w:keepLines w:val="0"/>
        <w:pageBreakBefore w:val="0"/>
        <w:widowControl w:val="0"/>
        <w:wordWrap/>
        <w:overflowPunct/>
        <w:topLinePunct w:val="0"/>
        <w:bidi w:val="0"/>
        <w:jc w:val="center"/>
        <w:rPr>
          <w:rStyle w:val="16"/>
          <w:rFonts w:hint="eastAsia" w:ascii="仿宋" w:hAnsi="仿宋" w:eastAsia="仿宋" w:cs="仿宋"/>
          <w:b/>
          <w:i w:val="0"/>
          <w:caps w:val="0"/>
          <w:spacing w:val="0"/>
          <w:w w:val="100"/>
          <w:kern w:val="2"/>
          <w:sz w:val="44"/>
          <w:szCs w:val="44"/>
          <w:highlight w:val="none"/>
          <w:lang w:val="en-US" w:eastAsia="zh-CN" w:bidi="ar-SA"/>
        </w:rPr>
      </w:pPr>
    </w:p>
    <w:p>
      <w:pPr>
        <w:keepNext w:val="0"/>
        <w:keepLines w:val="0"/>
        <w:pageBreakBefore w:val="0"/>
        <w:widowControl w:val="0"/>
        <w:wordWrap/>
        <w:overflowPunct/>
        <w:topLinePunct w:val="0"/>
        <w:bidi w:val="0"/>
        <w:snapToGrid/>
        <w:spacing w:before="0" w:beforeAutospacing="0" w:after="0" w:afterAutospacing="0" w:line="480" w:lineRule="auto"/>
        <w:jc w:val="right"/>
        <w:textAlignment w:val="baseline"/>
        <w:rPr>
          <w:rStyle w:val="16"/>
          <w:rFonts w:hint="eastAsia" w:ascii="仿宋" w:hAnsi="仿宋" w:eastAsia="仿宋" w:cs="仿宋"/>
          <w:b/>
          <w:i w:val="0"/>
          <w:caps w:val="0"/>
          <w:spacing w:val="0"/>
          <w:w w:val="100"/>
          <w:kern w:val="2"/>
          <w:sz w:val="21"/>
          <w:szCs w:val="21"/>
          <w:highlight w:val="none"/>
          <w:lang w:val="en-US" w:eastAsia="zh-CN" w:bidi="ar-SA"/>
        </w:rPr>
      </w:pPr>
      <w:r>
        <w:rPr>
          <w:rStyle w:val="16"/>
          <w:rFonts w:hint="eastAsia" w:ascii="仿宋" w:hAnsi="仿宋" w:eastAsia="仿宋" w:cs="仿宋"/>
          <w:b/>
          <w:i w:val="0"/>
          <w:caps w:val="0"/>
          <w:spacing w:val="0"/>
          <w:w w:val="100"/>
          <w:kern w:val="2"/>
          <w:sz w:val="28"/>
          <w:szCs w:val="28"/>
          <w:highlight w:val="none"/>
          <w:lang w:val="en-US" w:eastAsia="zh-CN" w:bidi="ar-SA"/>
        </w:rPr>
        <w:t xml:space="preserve">                                   </w:t>
      </w:r>
      <w:r>
        <w:rPr>
          <w:rStyle w:val="16"/>
          <w:rFonts w:hint="eastAsia" w:ascii="仿宋" w:hAnsi="仿宋" w:eastAsia="仿宋" w:cs="仿宋"/>
          <w:b/>
          <w:bCs/>
          <w:i w:val="0"/>
          <w:caps w:val="0"/>
          <w:spacing w:val="0"/>
          <w:w w:val="100"/>
          <w:kern w:val="2"/>
          <w:sz w:val="21"/>
          <w:szCs w:val="21"/>
          <w:highlight w:val="none"/>
          <w:lang w:val="en-US" w:eastAsia="zh-CN" w:bidi="ar-SA"/>
        </w:rPr>
        <w:t>黑至圣专审字【2023】第006号</w:t>
      </w:r>
    </w:p>
    <w:p>
      <w:pPr>
        <w:keepNext w:val="0"/>
        <w:keepLines w:val="0"/>
        <w:pageBreakBefore w:val="0"/>
        <w:widowControl w:val="0"/>
        <w:wordWrap/>
        <w:overflowPunct/>
        <w:topLinePunct w:val="0"/>
        <w:bidi w:val="0"/>
        <w:snapToGrid/>
        <w:spacing w:before="0" w:beforeAutospacing="0" w:after="0" w:afterAutospacing="0" w:line="480" w:lineRule="auto"/>
        <w:jc w:val="both"/>
        <w:textAlignment w:val="baseline"/>
        <w:rPr>
          <w:rStyle w:val="16"/>
          <w:rFonts w:hint="eastAsia" w:ascii="仿宋" w:hAnsi="仿宋" w:eastAsia="仿宋" w:cs="仿宋"/>
          <w:b/>
          <w:i w:val="0"/>
          <w:caps w:val="0"/>
          <w:spacing w:val="0"/>
          <w:w w:val="100"/>
          <w:kern w:val="2"/>
          <w:sz w:val="28"/>
          <w:szCs w:val="28"/>
          <w:highlight w:val="none"/>
          <w:lang w:val="en-US" w:eastAsia="zh-CN" w:bidi="ar-SA"/>
        </w:rPr>
      </w:pPr>
      <w:r>
        <w:rPr>
          <w:rStyle w:val="16"/>
          <w:rFonts w:hint="eastAsia" w:ascii="仿宋" w:hAnsi="仿宋" w:eastAsia="仿宋" w:cs="仿宋"/>
          <w:b/>
          <w:i w:val="0"/>
          <w:caps w:val="0"/>
          <w:spacing w:val="0"/>
          <w:w w:val="100"/>
          <w:kern w:val="2"/>
          <w:sz w:val="28"/>
          <w:szCs w:val="28"/>
          <w:highlight w:val="none"/>
          <w:lang w:val="en-US" w:eastAsia="zh-CN" w:bidi="ar-SA"/>
        </w:rPr>
        <w:t>哈尔滨市松北区财政和金融服务局：</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哈尔滨新区暨黑龙江自贸试验区哈尔滨片区产业引导基金管理办法》（哈新管规〔2022〕2号）《哈尔滨新区（江北一体发展区）财政和金融服务局政府投资基金绩效评价管理办法（试行）》（哈松财发〔2022〕90号）相关要求，受贵局委托，黑龙江至圣会计师事务所有限责任公司对2022年度哈尔滨新区产业引导基金进行绩效再评价。我们遵循相关性原则、重要性原则、可比性原则、系统性原则和经济性原则，采用内控测试、资料审阅、网络调查法、比较分析法和实地调查法等基本评价方法实施真实、客观、公正、独立的再评价，采取定量指标与定性指标相结合，以定量为主、定性为辅的方式开展再评价工作。我们相信，我们获取的再评价证据是充分适当的，为发表再评价意见提供了基础。</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现将再评价结果汇报如下：</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bookmarkStart w:id="0" w:name="_bookmark3"/>
      <w:bookmarkEnd w:id="0"/>
      <w:bookmarkStart w:id="1" w:name="_bookmark2"/>
      <w:bookmarkEnd w:id="1"/>
      <w:r>
        <w:rPr>
          <w:rFonts w:hint="eastAsia" w:ascii="仿宋" w:hAnsi="仿宋" w:eastAsia="仿宋" w:cs="仿宋"/>
          <w:b/>
          <w:bCs/>
          <w:sz w:val="28"/>
          <w:szCs w:val="28"/>
          <w:lang w:val="en-US" w:eastAsia="zh-CN"/>
        </w:rPr>
        <w:t>一、基本情况</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（一）项目单位情况及项目概况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1、项目实施单位概况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7月，市政府第88次常务会议决定将新区产业引导基金剩余部分划至哈尔滨新区管理委员会自行管理；2021年8月，经区政府第15次常务会议决定，由新区金融公司作为引导基金管理机构，负责引导基金运营管理相关工作。</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哈尔滨新区金融服务中心有限公司（简称：新区金融公司）成立于2019年1月21日，是哈尔滨新区管委会发起设立的国有独资企业，统一社会信用代码：91230109MA1BF5RB6E，公司住所：哈尔滨市利民开发区北京路CBD大厦1511室，法定代表人：解礼宁，注册资本：贰佰万圆整，经济类型：有限责任公司（国有独资），经营范围：园区管理服务，软件技术开发，金融网站建设（未经行政许可不得开展金融业务），企业管理服务，企业形象策划。</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新区金融公司未设置部门或机构。公司员工共计10人，设执行董事兼总经理1人、副总经理2人，其余均为职员。</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2、项目整体概况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黑龙江石墨产业投资基金合伙企业（有限合伙）（以下简称：石墨产业基金）于2021年11月17日正式成立，由黑龙江辰能万鑫私募基金管理有限公司作为基金管理机构。</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基金规模：72,720万元；</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投资对象：投资于新材料、新能源汽车等“两新”产业。</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返投比例：在哈尔滨新区内的投资规模不低于新区金融公司对合伙企业认缴出资额的2倍。</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基金存续期：七年（包含：投资期4年、退出期3年）；</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金出资人：哈尔滨新区金融服务中心有限公司，认缴24,000.00万元，占比33%；黑龙江辰能工大创业投资有限公司，认缴20,000.00万元，占比27.5%；哈尔滨万鑫石墨谷科技有限公司，认缴28,000.00万元，占比38.5%；黑龙江辰能万鑫私募基金管理有限公司，认缴720.00万元，占比1%。</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（二）资金来源及对外投资情况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1、资金来源情况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截至2022年末，新区产业引导基金（新区金融公司在管部分）已经与社会资本合作设立子基金1支，基金总规模72,720.00万元，其中：新区引导基金认缴出资24,000.00万元，实缴出资7,200.00万元，社会资本认缴48,720.00万元，实缴14,616.00万元。</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石墨产业基金设立于2021年11月，基金认缴出资规模为72,720.00万元，已实缴出资到位21,816.00万元，其中：哈尔滨新区金融服务中心有限公司实缴出资7,200.00万元，占比33%；黑龙江辰能工大创业投资有限公司实缴出资6,000.00万元，占比27.5%；哈尔滨万鑫石墨谷科技有限公司实缴出资8,400.00万元，占比38.5%；黑龙江辰能万鑫私募基金管理有限公司实缴出资216.00万元，占比1%。</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2、对外投资情况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截至2022年末，石墨产业基金尚未形成对外投资。</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2022年5月27日，石墨产业基金取得《私募投资基金备案证明》，开始从事基金投资活动。截至审计日，石墨产业基金已经对5家公司开展投资活动，具体情况如下：</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（1）对黑龙江省石墨谷新材料科技有限公司的投资，已经完成了项目筛选、项目立项、项目尽职调查等工作，下一步将进入项目审核与批准阶段，计划2023年8月10日完成；</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（2）对哈尔滨金纳科技有限公司的投资，已经完成了项目筛选、项目立项等工作，下一步计划在2023年8月完成项目尽职调查工作；</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（3）对黑龙江省石墨创新中心有限公司的投资，已经完成了项目筛选工作，计划在2023年8月完成项目立项工作；</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（4）对黑龙江诺康石墨烯包装科技有限公司的投资，已经完成了项目筛选工作，计划在2023年8月完成项目立项工作；</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（5）对黑龙江益墨新材料科技有限公司的投资，正处理项目论证阶段，计划在2023年9月份完成项目立项工作。</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（三）绩效目标设立情况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哈尔滨新区金融服务中心有限公司依据《哈尔滨新区（江北一体化发展区）财政和金融服务局政府投资基金绩效评价管理办法》（哈松财发〔2022〕90号），以公平性、经济性、效果性为原则，按“决策—管理—投资—效果”链条构建了评价体系，包括4条一级指标、15条二级指标和28条三级指标，分别赋予相应权重，共计100分。</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516"/>
        <w:gridCol w:w="2211"/>
        <w:gridCol w:w="930"/>
        <w:gridCol w:w="879"/>
        <w:gridCol w:w="830"/>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11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一级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指标</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二级指标</w:t>
            </w: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三级指标</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目标值</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权重</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得分</w:t>
            </w: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A决策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A1设立</w:t>
            </w: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A11基金设立依据充分</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充分</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A12投资方向明确性</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明确</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A13立项程序规范性</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规范</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A2出资</w:t>
            </w: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A21出资规范性</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规范</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A3托管</w:t>
            </w: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A31基金托管规范性</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规范</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B管理</w:t>
            </w:r>
          </w:p>
        </w:tc>
        <w:tc>
          <w:tcPr>
            <w:tcW w:w="151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B1管理团队</w:t>
            </w: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B11管理人选择规范性</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规范</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B12运作团队专业行</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专业</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B13管理人信用情况</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良好</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B14团队激励机制健全性</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健全</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B15管理制度执行规范性</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规范</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B2投资管理</w:t>
            </w: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B21投资决策规范性</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规范</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B22投资比例规范性</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规范</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B23投后管理机制健全性</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健全</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B24退出机制健全性</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健全</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B25风控机制健全性</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健全</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B3资金管理</w:t>
            </w: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B31基金财务与会计规范性</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规范</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B4监督管理</w:t>
            </w: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B41监督管理健全性</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90%</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C投资</w:t>
            </w:r>
          </w:p>
        </w:tc>
        <w:tc>
          <w:tcPr>
            <w:tcW w:w="151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C1质量</w:t>
            </w: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C11投资新区项目占比</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规范</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15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kern w:val="2"/>
                <w:sz w:val="21"/>
                <w:szCs w:val="21"/>
                <w:vertAlign w:val="baseline"/>
                <w:lang w:val="en-US" w:eastAsia="zh-CN" w:bidi="ar-SA"/>
              </w:rPr>
            </w:pP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C12投资战略新兴产业占比</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100%</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151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C2数量</w:t>
            </w: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C21投资总额</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0.5</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15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kern w:val="2"/>
                <w:sz w:val="21"/>
                <w:szCs w:val="21"/>
                <w:vertAlign w:val="baseline"/>
                <w:lang w:val="en-US" w:eastAsia="zh-CN" w:bidi="ar-SA"/>
              </w:rPr>
            </w:pP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C22投资项目数量</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100%</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15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kern w:val="2"/>
                <w:sz w:val="21"/>
                <w:szCs w:val="21"/>
                <w:vertAlign w:val="baseline"/>
                <w:lang w:val="en-US" w:eastAsia="zh-CN" w:bidi="ar-SA"/>
              </w:rPr>
            </w:pP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C23年度投资计划完成率</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60%</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C3时效</w:t>
            </w: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C31基金实缴出资到位及时率</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有效</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kern w:val="2"/>
                <w:sz w:val="21"/>
                <w:szCs w:val="21"/>
                <w:vertAlign w:val="baseline"/>
                <w:lang w:val="en-US" w:eastAsia="zh-CN" w:bidi="ar-SA"/>
              </w:rPr>
            </w:pP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C4运行成本</w:t>
            </w: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C41运行成本控制有效性</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同比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增长</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D效果</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D1投资效果</w:t>
            </w: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D11资产综合增长率</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同比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增长</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D2放大效果</w:t>
            </w: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D21财政出资放大倍数</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2.16</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D3引导作用</w:t>
            </w: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D22资本投向引导有效性</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有效</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D4社会效益</w:t>
            </w:r>
          </w:p>
        </w:tc>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D23相关企业就业人数增长率</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同比有效增长</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5822"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b/>
                <w:bCs/>
                <w:sz w:val="21"/>
                <w:szCs w:val="21"/>
                <w:vertAlign w:val="baseline"/>
                <w:lang w:val="en-US" w:eastAsia="zh-CN"/>
              </w:rPr>
              <w:t>合计</w:t>
            </w:r>
          </w:p>
        </w:tc>
        <w:tc>
          <w:tcPr>
            <w:tcW w:w="8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100</w:t>
            </w:r>
          </w:p>
        </w:tc>
        <w:tc>
          <w:tcPr>
            <w:tcW w:w="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lang w:val="en-US" w:eastAsia="zh-CN"/>
              </w:rPr>
            </w:pPr>
          </w:p>
        </w:tc>
      </w:tr>
    </w:tbl>
    <w:p>
      <w:pPr>
        <w:spacing w:line="391" w:lineRule="exact"/>
        <w:ind w:left="677"/>
        <w:outlineLvl w:val="0"/>
        <w:rPr>
          <w:rFonts w:hint="eastAsia" w:ascii="仿宋" w:hAnsi="仿宋" w:eastAsia="仿宋" w:cs="仿宋"/>
          <w:sz w:val="29"/>
          <w:szCs w:val="29"/>
        </w:rPr>
      </w:pPr>
      <w:bookmarkStart w:id="2" w:name="_bookmark8"/>
      <w:bookmarkEnd w:id="2"/>
      <w:bookmarkStart w:id="3" w:name="_bookmark9"/>
      <w:bookmarkEnd w:id="3"/>
      <w:r>
        <w:rPr>
          <w:rFonts w:hint="eastAsia" w:ascii="仿宋" w:hAnsi="仿宋" w:eastAsia="仿宋" w:cs="仿宋"/>
          <w:spacing w:val="12"/>
          <w:position w:val="2"/>
          <w:sz w:val="29"/>
          <w:szCs w:val="29"/>
          <w14:textOutline w14:w="5448" w14:cap="sq" w14:cmpd="sng">
            <w14:solidFill>
              <w14:srgbClr w14:val="000000"/>
            </w14:solidFill>
            <w14:prstDash w14:val="solid"/>
            <w14:bevel/>
          </w14:textOutline>
        </w:rPr>
        <w:t>二</w:t>
      </w:r>
      <w:r>
        <w:rPr>
          <w:rFonts w:hint="eastAsia" w:ascii="仿宋" w:hAnsi="仿宋" w:eastAsia="仿宋" w:cs="仿宋"/>
          <w:spacing w:val="8"/>
          <w:position w:val="2"/>
          <w:sz w:val="29"/>
          <w:szCs w:val="29"/>
          <w14:textOutline w14:w="5448" w14:cap="sq" w14:cmpd="sng">
            <w14:solidFill>
              <w14:srgbClr w14:val="000000"/>
            </w14:solidFill>
            <w14:prstDash w14:val="solid"/>
            <w14:bevel/>
          </w14:textOutline>
        </w:rPr>
        <w:t>、绩效自评情况</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（一）绩效自评概述</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哈尔滨新区金融服务中心有限公司于2023年5月24日完成绩效自评工作，形成了《新区产业引导基金2022年度（新区金融公司管理部分）绩效评估报告》。金融服务公司以公平性、经济性、效果性为原则，按“决策—管理—投资—效果”链条构建了评价体系，包括4条一级指标、15条二级指标和28条三级指标，分别赋予相应权重，共计100分。结合基金募、投、管、退四个环节，通过引导基金管理情况核查对参股子基金（黑龙江省石墨产业基金）进行客观评价，绩效评分为67分，绩效评价等级为“D级”。</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bookmarkStart w:id="4" w:name="_bookmark10"/>
      <w:bookmarkEnd w:id="4"/>
      <w:r>
        <w:rPr>
          <w:rFonts w:hint="eastAsia" w:ascii="仿宋" w:hAnsi="仿宋" w:eastAsia="仿宋" w:cs="仿宋"/>
          <w:b/>
          <w:bCs/>
          <w:sz w:val="28"/>
          <w:szCs w:val="28"/>
          <w:lang w:val="en-US" w:eastAsia="zh-CN"/>
        </w:rPr>
        <w:t>（二）绩效自评结论</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金融服务公司对“新区产业引导基金子基金”项目进行了自评打分，绩效评分67分。绩效评估报告从子基金情况、子基金对外投资及投资预期情况、下一步工作计划等三方面进行了绩效评价论述。</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bookmarkStart w:id="5" w:name="_bookmark12"/>
      <w:bookmarkEnd w:id="5"/>
      <w:bookmarkStart w:id="6" w:name="_bookmark11"/>
      <w:bookmarkEnd w:id="6"/>
      <w:r>
        <w:rPr>
          <w:rFonts w:hint="eastAsia" w:ascii="仿宋" w:hAnsi="仿宋" w:eastAsia="仿宋" w:cs="仿宋"/>
          <w:b/>
          <w:bCs/>
          <w:sz w:val="28"/>
          <w:szCs w:val="28"/>
          <w:lang w:val="en-US" w:eastAsia="zh-CN"/>
        </w:rPr>
        <w:t>三、绩效再评价组织情况</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（一）评价依据</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1、财政部《政府投资基金暂行管理办法》（财预〔2015〕210号）；</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2、国家发改委《政府出资产业投资基金管理暂行办法》（发改财金规〔2016〕2800号）；</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3、《关于做好政府出资产业投资基金绩效评价有关工作的通知》（发改办财金〔2018〕1043号）；</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4、《关于加强政府投资基金管理提高财政出资效益的通知》（财预〔2020〕7号）；</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5、《哈尔滨新区暨黑龙江自贸试验区哈尔滨片区产业引导基金管理办法》（哈新管规〔2022〕2号）；</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6、《哈尔滨新区（江北一体发展区）财政和金融服务局政府投资基金绩效评价管理办法（试行）》（哈松财发〔2022〕90号）</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7、相关引导基金、子基金管理制度和管理办法；</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8、主管部门及项目单位提供的自评资料；</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9、其他相关政策、管理规定和财务会计制度。</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bookmarkStart w:id="7" w:name="_bookmark13"/>
      <w:bookmarkEnd w:id="7"/>
      <w:r>
        <w:rPr>
          <w:rFonts w:hint="eastAsia" w:ascii="仿宋" w:hAnsi="仿宋" w:eastAsia="仿宋" w:cs="仿宋"/>
          <w:b/>
          <w:bCs/>
          <w:sz w:val="28"/>
          <w:szCs w:val="28"/>
          <w:lang w:val="en-US" w:eastAsia="zh-CN"/>
        </w:rPr>
        <w:t>（二）评价方法</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1、内控测评</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收集引导基金管理的相关制度并评价其内控健全性，了解基金业务管理和资金管理的流程和关键控制点，测试基金运营管理单位及基金发起人、基金管理人、基金托管人是否建立并执行相应的监控措施，是否有效控制基金的科学管理、规范运作，是否建立健全内部控制和风险防范机制，保障引导基金运行安全，切实发挥好政府产业基金的引导作用。</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2、资料审阅</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获取基金管理人的财务报告及审计报告、基金运营报告、托管报告、投资协议、投委会决议及相关业务管理信息；获取基金公司及被投资单位财务报告及审计报告、经营（运营）工作分析报告；获取项目投资进度、基金投资范围、项目储备情况、风控管理、投后管理、基金投资收益等考核指标的书面材料。通过查阅资料初步了解基金实施情况和绩效目标的实现情况，为再评价工作收集充分、有效的证据。</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3、网络调查法</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搜索被投企业网站、政府网站等获得相关数据信息，进行基本背景、宏观数据政策的搜集和研究。进一步了解政策导向及各项基金的基本架构、出资人情况、投资目标，以及被投企业未来市场变化动态及发展趋势。</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4、比较分析法</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逐一分析、对比引导基金预定目标和实际完成情况，分析基金投资方向、投资效益，是否发挥政府的引导作用，加快经济结构和区域经济协调发展；分析基金产生的社会效益、可持续性影响，是否有效带动和引导社会投资，发挥金融资金杠杆效应；分析预计退出机制、评估退出风险，是否发挥了市场资源配置效率和作用。</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5、实地调查法</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开展实地调查评价，在现场采用收集资料、研究案卷、统计服务成果等方式进行实地调查取证。拟定资料清单向被调查单位和人员收集资料或进行现场随机访谈。</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（三）指标体系</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1、绩效再评价指标</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目再评价指标体系包括决策、管理、投资和效果4个一级指标，决策包括设立、出资和托管3个指标，管理包括管理团队、投资管理、资金管理和监督管理4个指标，投资包括数量、质量、时效和运行成本4个指标，效果包括投资效果、放大效果、引导作用和社会效益4个指标，共计15个二级指标、28个三级指标，分别赋予相应权重，共计100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2、绩效再评价指标分值权重</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目绩效再评价为百分制，最终得分由各指标得分累计加总形成。绩效再评价指标体系从决策、管理、投资和效果四个方面进行构建，“决策”分值权重20分，“管理”分值权重38分，“投资”分值权重30分，“效果”分值权重12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3、再评价标准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依据《哈尔滨新区（江北一体发展区）财政和金融服务局政府投资基金绩效评价管理办法（试行）》要求，绩效评价采用百分制，各级指标依据其指标权重确定分值，最终得分由各级评价指标得分加总形成。绩效评价结果采取评分和评级相结合的形式，划分四档：90（含）-100分为优秀、80（含）-90分为良好、60（含）-80分为及格、60分以下为不及格。</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bookmarkStart w:id="8" w:name="_bookmark16"/>
      <w:bookmarkEnd w:id="8"/>
      <w:bookmarkStart w:id="9" w:name="_bookmark17"/>
      <w:bookmarkEnd w:id="9"/>
      <w:bookmarkStart w:id="10" w:name="_bookmark15"/>
      <w:bookmarkEnd w:id="10"/>
      <w:r>
        <w:rPr>
          <w:rFonts w:hint="eastAsia" w:ascii="仿宋" w:hAnsi="仿宋" w:eastAsia="仿宋" w:cs="仿宋"/>
          <w:b/>
          <w:bCs/>
          <w:sz w:val="28"/>
          <w:szCs w:val="28"/>
          <w:lang w:val="en-US" w:eastAsia="zh-CN"/>
        </w:rPr>
        <w:t>四、绩效再评价结论</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根据松北财政金融局的委托要求，我们对2022年度哈尔滨新区产业引导基金投资的“石墨产业基金”的决策、管理、投资和效果等方面进行了绩效再评价，下面分别阐述如下：</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1、绩效再评价综合评分情况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石墨产业基金绩效评分为61分，绩效评价等级为“及格”，一级指标具体得分情况详见下表：</w:t>
      </w:r>
    </w:p>
    <w:p>
      <w:pPr>
        <w:spacing w:line="106" w:lineRule="exact"/>
        <w:rPr>
          <w:rFonts w:hint="eastAsia" w:ascii="仿宋" w:hAnsi="仿宋" w:eastAsia="仿宋" w:cs="仿宋"/>
        </w:rPr>
      </w:pPr>
    </w:p>
    <w:tbl>
      <w:tblPr>
        <w:tblStyle w:val="32"/>
        <w:tblW w:w="88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15"/>
        <w:gridCol w:w="2210"/>
        <w:gridCol w:w="2210"/>
        <w:gridCol w:w="22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2215" w:type="dxa"/>
            <w:vAlign w:val="top"/>
          </w:tcPr>
          <w:p>
            <w:pPr>
              <w:spacing w:before="97" w:line="337" w:lineRule="exact"/>
              <w:ind w:left="625"/>
              <w:rPr>
                <w:rFonts w:hint="eastAsia" w:ascii="仿宋" w:hAnsi="仿宋" w:eastAsia="仿宋" w:cs="仿宋"/>
                <w:sz w:val="23"/>
                <w:szCs w:val="23"/>
              </w:rPr>
            </w:pPr>
            <w:r>
              <w:rPr>
                <w:rFonts w:hint="eastAsia" w:ascii="仿宋" w:hAnsi="仿宋" w:eastAsia="仿宋" w:cs="仿宋"/>
                <w:spacing w:val="14"/>
                <w:position w:val="1"/>
                <w:sz w:val="23"/>
                <w:szCs w:val="23"/>
                <w14:textOutline w14:w="4358" w14:cap="sq" w14:cmpd="sng">
                  <w14:solidFill>
                    <w14:srgbClr w14:val="000000"/>
                  </w14:solidFill>
                  <w14:prstDash w14:val="solid"/>
                  <w14:bevel/>
                </w14:textOutline>
              </w:rPr>
              <w:t>一</w:t>
            </w:r>
            <w:r>
              <w:rPr>
                <w:rFonts w:hint="eastAsia" w:ascii="仿宋" w:hAnsi="仿宋" w:eastAsia="仿宋" w:cs="仿宋"/>
                <w:spacing w:val="13"/>
                <w:position w:val="1"/>
                <w:sz w:val="23"/>
                <w:szCs w:val="23"/>
                <w14:textOutline w14:w="4358" w14:cap="sq" w14:cmpd="sng">
                  <w14:solidFill>
                    <w14:srgbClr w14:val="000000"/>
                  </w14:solidFill>
                  <w14:prstDash w14:val="solid"/>
                  <w14:bevel/>
                </w14:textOutline>
              </w:rPr>
              <w:t>级指标</w:t>
            </w:r>
          </w:p>
        </w:tc>
        <w:tc>
          <w:tcPr>
            <w:tcW w:w="2210" w:type="dxa"/>
            <w:vAlign w:val="top"/>
          </w:tcPr>
          <w:p>
            <w:pPr>
              <w:spacing w:before="98" w:line="225" w:lineRule="auto"/>
              <w:ind w:left="611"/>
              <w:rPr>
                <w:rFonts w:hint="eastAsia" w:ascii="仿宋" w:hAnsi="仿宋" w:eastAsia="仿宋" w:cs="仿宋"/>
                <w:sz w:val="23"/>
                <w:szCs w:val="23"/>
              </w:rPr>
            </w:pPr>
            <w:r>
              <w:rPr>
                <w:rFonts w:hint="eastAsia" w:ascii="仿宋" w:hAnsi="仿宋" w:eastAsia="仿宋" w:cs="仿宋"/>
                <w:spacing w:val="18"/>
                <w:sz w:val="23"/>
                <w:szCs w:val="23"/>
                <w14:textOutline w14:w="4358" w14:cap="sq" w14:cmpd="sng">
                  <w14:solidFill>
                    <w14:srgbClr w14:val="000000"/>
                  </w14:solidFill>
                  <w14:prstDash w14:val="solid"/>
                  <w14:bevel/>
                </w14:textOutline>
              </w:rPr>
              <w:t>指</w:t>
            </w:r>
            <w:r>
              <w:rPr>
                <w:rFonts w:hint="eastAsia" w:ascii="仿宋" w:hAnsi="仿宋" w:eastAsia="仿宋" w:cs="仿宋"/>
                <w:spacing w:val="16"/>
                <w:sz w:val="23"/>
                <w:szCs w:val="23"/>
                <w14:textOutline w14:w="4358" w14:cap="sq" w14:cmpd="sng">
                  <w14:solidFill>
                    <w14:srgbClr w14:val="000000"/>
                  </w14:solidFill>
                  <w14:prstDash w14:val="solid"/>
                  <w14:bevel/>
                </w14:textOutline>
              </w:rPr>
              <w:t>标分值</w:t>
            </w:r>
          </w:p>
        </w:tc>
        <w:tc>
          <w:tcPr>
            <w:tcW w:w="2210" w:type="dxa"/>
            <w:vAlign w:val="top"/>
          </w:tcPr>
          <w:p>
            <w:pPr>
              <w:spacing w:before="98" w:line="225" w:lineRule="auto"/>
              <w:ind w:left="608"/>
              <w:rPr>
                <w:rFonts w:hint="eastAsia" w:ascii="仿宋" w:hAnsi="仿宋" w:eastAsia="仿宋" w:cs="仿宋"/>
                <w:sz w:val="23"/>
                <w:szCs w:val="23"/>
              </w:rPr>
            </w:pPr>
            <w:r>
              <w:rPr>
                <w:rFonts w:hint="eastAsia" w:ascii="仿宋" w:hAnsi="仿宋" w:eastAsia="仿宋" w:cs="仿宋"/>
                <w:spacing w:val="18"/>
                <w:sz w:val="23"/>
                <w:szCs w:val="23"/>
                <w14:textOutline w14:w="4358" w14:cap="sq" w14:cmpd="sng">
                  <w14:solidFill>
                    <w14:srgbClr w14:val="000000"/>
                  </w14:solidFill>
                  <w14:prstDash w14:val="solid"/>
                  <w14:bevel/>
                </w14:textOutline>
              </w:rPr>
              <w:t>评</w:t>
            </w:r>
            <w:r>
              <w:rPr>
                <w:rFonts w:hint="eastAsia" w:ascii="仿宋" w:hAnsi="仿宋" w:eastAsia="仿宋" w:cs="仿宋"/>
                <w:spacing w:val="17"/>
                <w:sz w:val="23"/>
                <w:szCs w:val="23"/>
                <w14:textOutline w14:w="4358" w14:cap="sq" w14:cmpd="sng">
                  <w14:solidFill>
                    <w14:srgbClr w14:val="000000"/>
                  </w14:solidFill>
                  <w14:prstDash w14:val="solid"/>
                  <w14:bevel/>
                </w14:textOutline>
              </w:rPr>
              <w:t>价得分</w:t>
            </w:r>
          </w:p>
        </w:tc>
        <w:tc>
          <w:tcPr>
            <w:tcW w:w="2214" w:type="dxa"/>
            <w:vAlign w:val="top"/>
          </w:tcPr>
          <w:p>
            <w:pPr>
              <w:spacing w:before="98" w:line="225" w:lineRule="auto"/>
              <w:ind w:left="740"/>
              <w:rPr>
                <w:rFonts w:hint="eastAsia" w:ascii="仿宋" w:hAnsi="仿宋" w:eastAsia="仿宋" w:cs="仿宋"/>
                <w:sz w:val="23"/>
                <w:szCs w:val="23"/>
              </w:rPr>
            </w:pPr>
            <w:r>
              <w:rPr>
                <w:rFonts w:hint="eastAsia" w:ascii="仿宋" w:hAnsi="仿宋" w:eastAsia="仿宋" w:cs="仿宋"/>
                <w:spacing w:val="15"/>
                <w:sz w:val="23"/>
                <w:szCs w:val="23"/>
                <w14:textOutline w14:w="4358" w14:cap="sq" w14:cmpd="sng">
                  <w14:solidFill>
                    <w14:srgbClr w14:val="000000"/>
                  </w14:solidFill>
                  <w14:prstDash w14:val="solid"/>
                  <w14:bevel/>
                </w14:textOutline>
              </w:rPr>
              <w:t>得</w:t>
            </w:r>
            <w:r>
              <w:rPr>
                <w:rFonts w:hint="eastAsia" w:ascii="仿宋" w:hAnsi="仿宋" w:eastAsia="仿宋" w:cs="仿宋"/>
                <w:spacing w:val="14"/>
                <w:sz w:val="23"/>
                <w:szCs w:val="23"/>
                <w14:textOutline w14:w="4358" w14:cap="sq" w14:cmpd="sng">
                  <w14:solidFill>
                    <w14:srgbClr w14:val="000000"/>
                  </w14:solidFill>
                  <w14:prstDash w14:val="solid"/>
                  <w14:bevel/>
                </w14:textOutline>
              </w:rPr>
              <w:t>分率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215" w:type="dxa"/>
            <w:vAlign w:val="top"/>
          </w:tcPr>
          <w:p>
            <w:pPr>
              <w:spacing w:before="95" w:line="227" w:lineRule="auto"/>
              <w:ind w:left="865"/>
              <w:rPr>
                <w:rFonts w:hint="eastAsia" w:ascii="仿宋" w:hAnsi="仿宋" w:eastAsia="仿宋" w:cs="仿宋"/>
                <w:sz w:val="23"/>
                <w:szCs w:val="23"/>
                <w:lang w:val="en-US" w:eastAsia="zh-CN"/>
              </w:rPr>
            </w:pPr>
            <w:r>
              <w:rPr>
                <w:rFonts w:hint="eastAsia" w:ascii="仿宋" w:hAnsi="仿宋" w:eastAsia="仿宋" w:cs="仿宋"/>
                <w:sz w:val="23"/>
                <w:szCs w:val="23"/>
                <w:lang w:val="en-US" w:eastAsia="zh-CN"/>
              </w:rPr>
              <w:t>决策</w:t>
            </w:r>
          </w:p>
        </w:tc>
        <w:tc>
          <w:tcPr>
            <w:tcW w:w="2210" w:type="dxa"/>
            <w:vAlign w:val="top"/>
          </w:tcPr>
          <w:p>
            <w:pPr>
              <w:spacing w:before="126" w:line="192" w:lineRule="auto"/>
              <w:ind w:left="1007"/>
              <w:rPr>
                <w:rFonts w:hint="eastAsia" w:ascii="仿宋" w:hAnsi="仿宋" w:eastAsia="仿宋" w:cs="仿宋"/>
                <w:sz w:val="23"/>
                <w:szCs w:val="23"/>
                <w:lang w:val="en-US" w:eastAsia="zh-CN"/>
              </w:rPr>
            </w:pPr>
            <w:r>
              <w:rPr>
                <w:rFonts w:hint="eastAsia" w:ascii="仿宋" w:hAnsi="仿宋" w:eastAsia="仿宋" w:cs="仿宋"/>
                <w:spacing w:val="-8"/>
                <w:sz w:val="23"/>
                <w:szCs w:val="23"/>
                <w:lang w:val="en-US" w:eastAsia="zh-CN"/>
              </w:rPr>
              <w:t>20</w:t>
            </w:r>
          </w:p>
        </w:tc>
        <w:tc>
          <w:tcPr>
            <w:tcW w:w="2210" w:type="dxa"/>
            <w:vAlign w:val="center"/>
          </w:tcPr>
          <w:p>
            <w:pPr>
              <w:keepNext w:val="0"/>
              <w:keepLines w:val="0"/>
              <w:widowControl/>
              <w:suppressLineNumbers w:val="0"/>
              <w:jc w:val="center"/>
              <w:textAlignment w:val="center"/>
              <w:rPr>
                <w:rFonts w:hint="eastAsia" w:ascii="仿宋" w:hAnsi="仿宋" w:eastAsia="仿宋" w:cs="仿宋"/>
                <w:sz w:val="23"/>
                <w:szCs w:val="23"/>
                <w:lang w:val="en-US" w:eastAsia="zh-CN"/>
              </w:rPr>
            </w:pPr>
            <w:r>
              <w:rPr>
                <w:rFonts w:hint="eastAsia" w:ascii="仿宋" w:hAnsi="仿宋" w:eastAsia="仿宋" w:cs="仿宋"/>
                <w:i w:val="0"/>
                <w:iCs w:val="0"/>
                <w:snapToGrid w:val="0"/>
                <w:color w:val="000000"/>
                <w:kern w:val="0"/>
                <w:sz w:val="23"/>
                <w:szCs w:val="23"/>
                <w:u w:val="none"/>
                <w:lang w:val="en-US" w:eastAsia="zh-CN" w:bidi="ar"/>
              </w:rPr>
              <w:t>19</w:t>
            </w:r>
          </w:p>
        </w:tc>
        <w:tc>
          <w:tcPr>
            <w:tcW w:w="2214" w:type="dxa"/>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3"/>
                <w:szCs w:val="23"/>
                <w:u w:val="none"/>
                <w:lang w:val="en-US"/>
              </w:rPr>
            </w:pPr>
            <w:r>
              <w:rPr>
                <w:rFonts w:hint="eastAsia" w:ascii="仿宋" w:hAnsi="仿宋" w:eastAsia="仿宋" w:cs="仿宋"/>
                <w:i w:val="0"/>
                <w:iCs w:val="0"/>
                <w:snapToGrid w:val="0"/>
                <w:color w:val="000000"/>
                <w:kern w:val="0"/>
                <w:sz w:val="23"/>
                <w:szCs w:val="23"/>
                <w:u w:val="none"/>
                <w:lang w:val="en-US" w:eastAsia="zh-CN" w:bidi="ar"/>
              </w:rPr>
              <w:t>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215" w:type="dxa"/>
            <w:vAlign w:val="top"/>
          </w:tcPr>
          <w:p>
            <w:pPr>
              <w:spacing w:before="95" w:line="226" w:lineRule="auto"/>
              <w:ind w:left="868"/>
              <w:rPr>
                <w:rFonts w:hint="eastAsia" w:ascii="仿宋" w:hAnsi="仿宋" w:eastAsia="仿宋" w:cs="仿宋"/>
                <w:sz w:val="23"/>
                <w:szCs w:val="23"/>
                <w:lang w:eastAsia="zh-CN"/>
              </w:rPr>
            </w:pPr>
            <w:r>
              <w:rPr>
                <w:rFonts w:hint="eastAsia" w:ascii="仿宋" w:hAnsi="仿宋" w:eastAsia="仿宋" w:cs="仿宋"/>
                <w:spacing w:val="8"/>
                <w:sz w:val="23"/>
                <w:szCs w:val="23"/>
                <w:lang w:val="en-US" w:eastAsia="zh-CN"/>
              </w:rPr>
              <w:t>管理</w:t>
            </w:r>
          </w:p>
        </w:tc>
        <w:tc>
          <w:tcPr>
            <w:tcW w:w="2210" w:type="dxa"/>
            <w:vAlign w:val="top"/>
          </w:tcPr>
          <w:p>
            <w:pPr>
              <w:spacing w:before="128" w:line="192" w:lineRule="auto"/>
              <w:ind w:left="1000"/>
              <w:rPr>
                <w:rFonts w:hint="eastAsia" w:ascii="仿宋" w:hAnsi="仿宋" w:eastAsia="仿宋" w:cs="仿宋"/>
                <w:sz w:val="23"/>
                <w:szCs w:val="23"/>
                <w:lang w:val="en-US" w:eastAsia="zh-CN"/>
              </w:rPr>
            </w:pPr>
            <w:r>
              <w:rPr>
                <w:rFonts w:hint="eastAsia" w:ascii="仿宋" w:hAnsi="仿宋" w:eastAsia="仿宋" w:cs="仿宋"/>
                <w:spacing w:val="-4"/>
                <w:sz w:val="23"/>
                <w:szCs w:val="23"/>
                <w:lang w:val="en-US" w:eastAsia="zh-CN"/>
              </w:rPr>
              <w:t>38</w:t>
            </w:r>
          </w:p>
        </w:tc>
        <w:tc>
          <w:tcPr>
            <w:tcW w:w="2210" w:type="dxa"/>
            <w:vAlign w:val="center"/>
          </w:tcPr>
          <w:p>
            <w:pPr>
              <w:keepNext w:val="0"/>
              <w:keepLines w:val="0"/>
              <w:widowControl/>
              <w:suppressLineNumbers w:val="0"/>
              <w:jc w:val="center"/>
              <w:textAlignment w:val="center"/>
              <w:rPr>
                <w:rFonts w:hint="eastAsia" w:ascii="仿宋" w:hAnsi="仿宋" w:eastAsia="仿宋" w:cs="仿宋"/>
                <w:sz w:val="23"/>
                <w:szCs w:val="23"/>
                <w:lang w:val="en-US" w:eastAsia="zh-CN"/>
              </w:rPr>
            </w:pPr>
            <w:r>
              <w:rPr>
                <w:rFonts w:hint="eastAsia" w:ascii="仿宋" w:hAnsi="仿宋" w:eastAsia="仿宋" w:cs="仿宋"/>
                <w:i w:val="0"/>
                <w:iCs w:val="0"/>
                <w:snapToGrid w:val="0"/>
                <w:color w:val="000000"/>
                <w:kern w:val="0"/>
                <w:sz w:val="23"/>
                <w:szCs w:val="23"/>
                <w:u w:val="none"/>
                <w:lang w:val="en-US" w:eastAsia="zh-CN" w:bidi="ar"/>
              </w:rPr>
              <w:t>34</w:t>
            </w:r>
          </w:p>
        </w:tc>
        <w:tc>
          <w:tcPr>
            <w:tcW w:w="2214" w:type="dxa"/>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3"/>
                <w:szCs w:val="23"/>
                <w:u w:val="none"/>
                <w:lang w:val="en-US"/>
              </w:rPr>
            </w:pPr>
            <w:r>
              <w:rPr>
                <w:rFonts w:hint="eastAsia" w:ascii="仿宋" w:hAnsi="仿宋" w:eastAsia="仿宋" w:cs="仿宋"/>
                <w:i w:val="0"/>
                <w:iCs w:val="0"/>
                <w:snapToGrid w:val="0"/>
                <w:color w:val="000000"/>
                <w:kern w:val="0"/>
                <w:sz w:val="23"/>
                <w:szCs w:val="23"/>
                <w:u w:val="none"/>
                <w:lang w:val="en-US" w:eastAsia="zh-CN" w:bidi="ar"/>
              </w:rPr>
              <w:t>89.47%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215" w:type="dxa"/>
            <w:vAlign w:val="top"/>
          </w:tcPr>
          <w:p>
            <w:pPr>
              <w:spacing w:before="96" w:line="227" w:lineRule="auto"/>
              <w:ind w:left="862"/>
              <w:rPr>
                <w:rFonts w:hint="eastAsia" w:ascii="仿宋" w:hAnsi="仿宋" w:eastAsia="仿宋" w:cs="仿宋"/>
                <w:sz w:val="23"/>
                <w:szCs w:val="23"/>
                <w:lang w:val="en-US" w:eastAsia="zh-CN"/>
              </w:rPr>
            </w:pPr>
            <w:r>
              <w:rPr>
                <w:rFonts w:hint="eastAsia" w:ascii="仿宋" w:hAnsi="仿宋" w:eastAsia="仿宋" w:cs="仿宋"/>
                <w:spacing w:val="11"/>
                <w:sz w:val="23"/>
                <w:szCs w:val="23"/>
                <w:lang w:val="en-US" w:eastAsia="zh-CN"/>
              </w:rPr>
              <w:t>投资</w:t>
            </w:r>
          </w:p>
        </w:tc>
        <w:tc>
          <w:tcPr>
            <w:tcW w:w="2210" w:type="dxa"/>
            <w:vAlign w:val="top"/>
          </w:tcPr>
          <w:p>
            <w:pPr>
              <w:spacing w:before="128" w:line="192" w:lineRule="auto"/>
              <w:ind w:left="1001"/>
              <w:rPr>
                <w:rFonts w:hint="eastAsia" w:ascii="仿宋" w:hAnsi="仿宋" w:eastAsia="仿宋" w:cs="仿宋"/>
                <w:sz w:val="23"/>
                <w:szCs w:val="23"/>
                <w:lang w:val="en-US" w:eastAsia="zh-CN"/>
              </w:rPr>
            </w:pPr>
            <w:r>
              <w:rPr>
                <w:rFonts w:hint="eastAsia" w:ascii="仿宋" w:hAnsi="仿宋" w:eastAsia="仿宋" w:cs="仿宋"/>
                <w:sz w:val="23"/>
                <w:szCs w:val="23"/>
                <w:lang w:val="en-US" w:eastAsia="zh-CN"/>
              </w:rPr>
              <w:t>30</w:t>
            </w:r>
          </w:p>
        </w:tc>
        <w:tc>
          <w:tcPr>
            <w:tcW w:w="2210" w:type="dxa"/>
            <w:vAlign w:val="center"/>
          </w:tcPr>
          <w:p>
            <w:pPr>
              <w:keepNext w:val="0"/>
              <w:keepLines w:val="0"/>
              <w:widowControl/>
              <w:suppressLineNumbers w:val="0"/>
              <w:jc w:val="center"/>
              <w:textAlignment w:val="center"/>
              <w:rPr>
                <w:rFonts w:hint="eastAsia" w:ascii="仿宋" w:hAnsi="仿宋" w:eastAsia="仿宋" w:cs="仿宋"/>
                <w:sz w:val="23"/>
                <w:szCs w:val="23"/>
                <w:lang w:val="en-US" w:eastAsia="zh-CN"/>
              </w:rPr>
            </w:pPr>
            <w:r>
              <w:rPr>
                <w:rFonts w:hint="eastAsia" w:ascii="仿宋" w:hAnsi="仿宋" w:eastAsia="仿宋" w:cs="仿宋"/>
                <w:i w:val="0"/>
                <w:iCs w:val="0"/>
                <w:snapToGrid w:val="0"/>
                <w:color w:val="000000"/>
                <w:kern w:val="0"/>
                <w:sz w:val="23"/>
                <w:szCs w:val="23"/>
                <w:u w:val="none"/>
                <w:lang w:val="en-US" w:eastAsia="zh-CN" w:bidi="ar"/>
              </w:rPr>
              <w:t>2</w:t>
            </w:r>
          </w:p>
        </w:tc>
        <w:tc>
          <w:tcPr>
            <w:tcW w:w="2214" w:type="dxa"/>
            <w:vAlign w:val="center"/>
          </w:tcPr>
          <w:p>
            <w:pPr>
              <w:keepNext w:val="0"/>
              <w:keepLines w:val="0"/>
              <w:widowControl/>
              <w:suppressLineNumbers w:val="0"/>
              <w:jc w:val="center"/>
              <w:textAlignment w:val="center"/>
              <w:rPr>
                <w:rFonts w:hint="eastAsia" w:ascii="仿宋" w:hAnsi="仿宋" w:eastAsia="仿宋" w:cs="仿宋"/>
                <w:sz w:val="23"/>
                <w:szCs w:val="23"/>
                <w:lang w:val="en-US"/>
              </w:rPr>
            </w:pPr>
            <w:r>
              <w:rPr>
                <w:rFonts w:hint="eastAsia" w:ascii="仿宋" w:hAnsi="仿宋" w:eastAsia="仿宋" w:cs="仿宋"/>
                <w:i w:val="0"/>
                <w:iCs w:val="0"/>
                <w:snapToGrid w:val="0"/>
                <w:color w:val="000000"/>
                <w:kern w:val="0"/>
                <w:sz w:val="23"/>
                <w:szCs w:val="23"/>
                <w:u w:val="none"/>
                <w:lang w:val="en-US" w:eastAsia="zh-CN" w:bidi="ar"/>
              </w:rPr>
              <w:t>6.67%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215" w:type="dxa"/>
            <w:vAlign w:val="top"/>
          </w:tcPr>
          <w:p>
            <w:pPr>
              <w:spacing w:before="98" w:line="225" w:lineRule="auto"/>
              <w:ind w:left="868"/>
              <w:rPr>
                <w:rFonts w:hint="eastAsia" w:ascii="仿宋" w:hAnsi="仿宋" w:eastAsia="仿宋" w:cs="仿宋"/>
                <w:sz w:val="23"/>
                <w:szCs w:val="23"/>
              </w:rPr>
            </w:pPr>
            <w:r>
              <w:rPr>
                <w:rFonts w:hint="eastAsia" w:ascii="仿宋" w:hAnsi="仿宋" w:eastAsia="仿宋" w:cs="仿宋"/>
                <w:spacing w:val="8"/>
                <w:sz w:val="23"/>
                <w:szCs w:val="23"/>
              </w:rPr>
              <w:t>效果</w:t>
            </w:r>
          </w:p>
        </w:tc>
        <w:tc>
          <w:tcPr>
            <w:tcW w:w="2210" w:type="dxa"/>
            <w:vAlign w:val="top"/>
          </w:tcPr>
          <w:p>
            <w:pPr>
              <w:spacing w:before="129" w:line="192" w:lineRule="auto"/>
              <w:ind w:left="1001"/>
              <w:rPr>
                <w:rFonts w:hint="eastAsia" w:ascii="仿宋" w:hAnsi="仿宋" w:eastAsia="仿宋" w:cs="仿宋"/>
                <w:sz w:val="23"/>
                <w:szCs w:val="23"/>
                <w:lang w:val="en-US" w:eastAsia="zh-CN"/>
              </w:rPr>
            </w:pPr>
            <w:r>
              <w:rPr>
                <w:rFonts w:hint="eastAsia" w:ascii="仿宋" w:hAnsi="仿宋" w:eastAsia="仿宋" w:cs="仿宋"/>
                <w:spacing w:val="-5"/>
                <w:sz w:val="23"/>
                <w:szCs w:val="23"/>
                <w:lang w:val="en-US" w:eastAsia="zh-CN"/>
              </w:rPr>
              <w:t>12</w:t>
            </w:r>
          </w:p>
        </w:tc>
        <w:tc>
          <w:tcPr>
            <w:tcW w:w="2210" w:type="dxa"/>
            <w:vAlign w:val="center"/>
          </w:tcPr>
          <w:p>
            <w:pPr>
              <w:keepNext w:val="0"/>
              <w:keepLines w:val="0"/>
              <w:widowControl/>
              <w:suppressLineNumbers w:val="0"/>
              <w:jc w:val="center"/>
              <w:textAlignment w:val="center"/>
              <w:rPr>
                <w:rFonts w:hint="eastAsia" w:ascii="仿宋" w:hAnsi="仿宋" w:eastAsia="仿宋" w:cs="仿宋"/>
                <w:sz w:val="23"/>
                <w:szCs w:val="23"/>
                <w:lang w:val="en-US" w:eastAsia="zh-CN"/>
              </w:rPr>
            </w:pPr>
            <w:r>
              <w:rPr>
                <w:rFonts w:hint="eastAsia" w:ascii="仿宋" w:hAnsi="仿宋" w:eastAsia="仿宋" w:cs="仿宋"/>
                <w:i w:val="0"/>
                <w:iCs w:val="0"/>
                <w:snapToGrid w:val="0"/>
                <w:color w:val="000000"/>
                <w:kern w:val="0"/>
                <w:sz w:val="23"/>
                <w:szCs w:val="23"/>
                <w:u w:val="none"/>
                <w:lang w:val="en-US" w:eastAsia="zh-CN" w:bidi="ar"/>
              </w:rPr>
              <w:t>6</w:t>
            </w:r>
          </w:p>
        </w:tc>
        <w:tc>
          <w:tcPr>
            <w:tcW w:w="2214" w:type="dxa"/>
            <w:vAlign w:val="center"/>
          </w:tcPr>
          <w:p>
            <w:pPr>
              <w:keepNext w:val="0"/>
              <w:keepLines w:val="0"/>
              <w:widowControl/>
              <w:suppressLineNumbers w:val="0"/>
              <w:jc w:val="center"/>
              <w:textAlignment w:val="center"/>
              <w:rPr>
                <w:rFonts w:hint="eastAsia" w:ascii="仿宋" w:hAnsi="仿宋" w:eastAsia="仿宋" w:cs="仿宋"/>
                <w:sz w:val="23"/>
                <w:szCs w:val="23"/>
                <w:lang w:val="en-US"/>
              </w:rPr>
            </w:pPr>
            <w:r>
              <w:rPr>
                <w:rFonts w:hint="eastAsia" w:ascii="仿宋" w:hAnsi="仿宋" w:eastAsia="仿宋" w:cs="仿宋"/>
                <w:i w:val="0"/>
                <w:iCs w:val="0"/>
                <w:snapToGrid w:val="0"/>
                <w:color w:val="000000"/>
                <w:kern w:val="0"/>
                <w:sz w:val="23"/>
                <w:szCs w:val="23"/>
                <w:u w:val="none"/>
                <w:lang w:val="en-US" w:eastAsia="zh-CN" w:bidi="ar"/>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2215" w:type="dxa"/>
            <w:vAlign w:val="top"/>
          </w:tcPr>
          <w:p>
            <w:pPr>
              <w:spacing w:before="98" w:line="225" w:lineRule="auto"/>
              <w:ind w:left="865"/>
              <w:rPr>
                <w:rFonts w:hint="eastAsia" w:ascii="仿宋" w:hAnsi="仿宋" w:eastAsia="仿宋" w:cs="仿宋"/>
                <w:sz w:val="23"/>
                <w:szCs w:val="23"/>
              </w:rPr>
            </w:pPr>
            <w:r>
              <w:rPr>
                <w:rFonts w:hint="eastAsia" w:ascii="仿宋" w:hAnsi="仿宋" w:eastAsia="仿宋" w:cs="仿宋"/>
                <w:spacing w:val="10"/>
                <w:sz w:val="23"/>
                <w:szCs w:val="23"/>
                <w14:textOutline w14:w="4358" w14:cap="sq" w14:cmpd="sng">
                  <w14:solidFill>
                    <w14:srgbClr w14:val="000000"/>
                  </w14:solidFill>
                  <w14:prstDash w14:val="solid"/>
                  <w14:bevel/>
                </w14:textOutline>
              </w:rPr>
              <w:t>合</w:t>
            </w:r>
            <w:r>
              <w:rPr>
                <w:rFonts w:hint="eastAsia" w:ascii="仿宋" w:hAnsi="仿宋" w:eastAsia="仿宋" w:cs="仿宋"/>
                <w:spacing w:val="9"/>
                <w:sz w:val="23"/>
                <w:szCs w:val="23"/>
                <w14:textOutline w14:w="4358" w14:cap="sq" w14:cmpd="sng">
                  <w14:solidFill>
                    <w14:srgbClr w14:val="000000"/>
                  </w14:solidFill>
                  <w14:prstDash w14:val="solid"/>
                  <w14:bevel/>
                </w14:textOutline>
              </w:rPr>
              <w:t>计</w:t>
            </w:r>
          </w:p>
        </w:tc>
        <w:tc>
          <w:tcPr>
            <w:tcW w:w="2210" w:type="dxa"/>
            <w:vAlign w:val="top"/>
          </w:tcPr>
          <w:p>
            <w:pPr>
              <w:spacing w:before="131" w:line="192" w:lineRule="auto"/>
              <w:ind w:left="947"/>
              <w:rPr>
                <w:rFonts w:hint="eastAsia" w:ascii="仿宋" w:hAnsi="仿宋" w:eastAsia="仿宋" w:cs="仿宋"/>
                <w:sz w:val="23"/>
                <w:szCs w:val="23"/>
              </w:rPr>
            </w:pPr>
            <w:r>
              <w:rPr>
                <w:rFonts w:hint="eastAsia" w:ascii="仿宋" w:hAnsi="仿宋" w:eastAsia="仿宋" w:cs="仿宋"/>
                <w:spacing w:val="-4"/>
                <w:sz w:val="23"/>
                <w:szCs w:val="23"/>
                <w14:textOutline w14:w="4358" w14:cap="sq" w14:cmpd="sng">
                  <w14:solidFill>
                    <w14:srgbClr w14:val="000000"/>
                  </w14:solidFill>
                  <w14:prstDash w14:val="solid"/>
                  <w14:bevel/>
                </w14:textOutline>
              </w:rPr>
              <w:t>1</w:t>
            </w:r>
            <w:r>
              <w:rPr>
                <w:rFonts w:hint="eastAsia" w:ascii="仿宋" w:hAnsi="仿宋" w:eastAsia="仿宋" w:cs="仿宋"/>
                <w:spacing w:val="-2"/>
                <w:sz w:val="23"/>
                <w:szCs w:val="23"/>
                <w14:textOutline w14:w="4358" w14:cap="sq" w14:cmpd="sng">
                  <w14:solidFill>
                    <w14:srgbClr w14:val="000000"/>
                  </w14:solidFill>
                  <w14:prstDash w14:val="solid"/>
                  <w14:bevel/>
                </w14:textOutline>
              </w:rPr>
              <w:t>00</w:t>
            </w:r>
          </w:p>
        </w:tc>
        <w:tc>
          <w:tcPr>
            <w:tcW w:w="2210" w:type="dxa"/>
            <w:vAlign w:val="center"/>
          </w:tcPr>
          <w:p>
            <w:pPr>
              <w:keepNext w:val="0"/>
              <w:keepLines w:val="0"/>
              <w:widowControl/>
              <w:suppressLineNumbers w:val="0"/>
              <w:jc w:val="center"/>
              <w:textAlignment w:val="center"/>
              <w:rPr>
                <w:rFonts w:hint="eastAsia" w:ascii="仿宋" w:hAnsi="仿宋" w:eastAsia="仿宋" w:cs="仿宋"/>
                <w:sz w:val="23"/>
                <w:szCs w:val="23"/>
                <w:lang w:val="en-US" w:eastAsia="zh-CN"/>
              </w:rPr>
            </w:pPr>
            <w:r>
              <w:rPr>
                <w:rFonts w:hint="eastAsia" w:ascii="仿宋" w:hAnsi="仿宋" w:eastAsia="仿宋" w:cs="仿宋"/>
                <w:spacing w:val="-4"/>
                <w:sz w:val="23"/>
                <w:szCs w:val="23"/>
                <w:lang w:val="en-US" w:eastAsia="zh-CN"/>
                <w14:textOutline w14:w="4358" w14:cap="sq" w14:cmpd="sng">
                  <w14:solidFill>
                    <w14:srgbClr w14:val="000000"/>
                  </w14:solidFill>
                  <w14:prstDash w14:val="solid"/>
                  <w14:bevel/>
                </w14:textOutline>
              </w:rPr>
              <w:t>61</w:t>
            </w:r>
          </w:p>
        </w:tc>
        <w:tc>
          <w:tcPr>
            <w:tcW w:w="2214" w:type="dxa"/>
            <w:vAlign w:val="top"/>
          </w:tcPr>
          <w:p>
            <w:pPr>
              <w:spacing w:before="100" w:line="304" w:lineRule="exact"/>
              <w:ind w:left="764" w:firstLine="238" w:firstLineChars="100"/>
              <w:rPr>
                <w:rFonts w:hint="eastAsia" w:ascii="仿宋" w:hAnsi="仿宋" w:eastAsia="仿宋" w:cs="仿宋"/>
                <w:sz w:val="23"/>
                <w:szCs w:val="23"/>
                <w:lang w:val="en-US" w:eastAsia="zh-CN"/>
              </w:rPr>
            </w:pPr>
            <w:r>
              <w:rPr>
                <w:rFonts w:hint="eastAsia" w:ascii="仿宋" w:hAnsi="仿宋" w:eastAsia="仿宋" w:cs="仿宋"/>
                <w:spacing w:val="4"/>
                <w:position w:val="1"/>
                <w:sz w:val="23"/>
                <w:szCs w:val="23"/>
                <w:lang w:val="en-US" w:eastAsia="zh-CN"/>
                <w14:textOutline w14:w="4358" w14:cap="sq" w14:cmpd="sng">
                  <w14:solidFill>
                    <w14:srgbClr w14:val="000000"/>
                  </w14:solidFill>
                  <w14:prstDash w14:val="solid"/>
                  <w14:bevel/>
                </w14:textOutline>
              </w:rPr>
              <w:t>61%</w:t>
            </w:r>
          </w:p>
        </w:tc>
      </w:tr>
    </w:tbl>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综合评价，我们认为石墨产业基金在业务工作中完成了基金的设立，开展了相关投资活动，但未形成具体投资业务。石墨产业基金在开展过程中，存在投资进度不佳、未建立激励约束机制、未与基金管理人签订委托管理协议等情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2、绩效再评价情况分析</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①决策情况分析</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从评价得分情况看，此项评价满分为20分，再评价得分19分(占该项满分值的95.00%)，具体分析如下：</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基金设立情况：能够依据投委会决议，及时与基金管理机构及其他投资者签订产业引导基金投资协议，将投资领域确定为石墨技术、新材料、新能源汽车等“两新”产业领域，基金立项程序基本规范，设立手续完备。</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基金出资情况：基金投资认缴总规模72,720.00万元，协议约定：全部为货币出资，分三期实缴，首期实缴出资额的30%，二期实缴认缴出资额的40%，三期实缴认缴出资额的30%，当合伙企业投资完成累计实缴出资额的70%时，各合伙人进行下一期出资，2023年12月31日以前合伙企业投资未完成累计实缴出资额的70%，则2023年12月31日起各合伙人终止下一期出资。</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截至2022年末实缴出资额21,816.00万元，完成30%，已完成第一期实缴要求。至目前（2023年6月）尚未形成对外投资业务，有1个投资项目处于决议阶段、有1个投资项目处于立项阶段、有2个投资项目处于项目筛选阶段、有1个投资项目处于项目论证阶段。按协议规定的投资完成累计实缴出资额的70%后进行下一期出资，2023年12月31日前实现第二期出资存有风险。</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基金托管情况：基金托管业务基本规范，2022年5月10日与上海浦东发展银行股份有限公司哈尔滨分行签署了《私募股权投资基金托管协议》《私募募集结算资金专用账户监督协议》；2023年1月13日银行提供的《黑龙江省石墨产业投资基金合伙企业（有限合伙）托管人报告》内容详尽、依据充分、数据完整。</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②管理情况分析</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从评价得分情况看，此项评价满分为38分，再评价得分34分(占该项满分值的89.47%)，具体分析如下：</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管理团队情况：自石墨产业基金设立之后，黑龙江省石墨产业投资基金合伙企业（有限合伙）与黑龙江辰能万鑫私募基金管理有限公司未签订基金委托管理协议。基金管理机构现有员工7人，全部具备基金从业资格。黑龙江辰能万鑫私募基金管理有限公司制定有投资管理制度、业务外包管理制度、资金托管控制制度、财务及会议管理制度、内部控制制度及运营风险控制制度，但未见团队激励方面的规章制度。从目前投资活动进展情况来看，团队激励的有效性明显不足。</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投资管理情况：子基金投资决策主要分为拟投项目筛选、投资项目立项、投资项目尽职调查、投资项目审核批准四个阶段。组建了7人的投资决策委员会，能够针对投资业务及时召集投资决策会议，能够按照法律、法规及《合伙协议》规定的会议召集程序、表决方式、决议内容等履行投资决策流程，及时召开投资决策委员会会议并决议。制定了投资管理制度、业务外包管理制度，未建立投资退出管理方面制度。</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c.资金管理情况：执行企业会计准则，制定了资金托管控制制度，由上海浦东发展银行股份有限公司哈尔滨分行进行资金托管，由黑龙江汇鑫会计师事务所有限责任公司出具了2022年度无保留意见审计报告。</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d.监督管理情况：制定财务及会议管理制度、内部控制制度及运营风险控制制度等各项管理制度，能够有效配合新区金融公司进行基金监督管理工作。</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③投资情况分析</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从评价得分情况看，此项评价满分为30分，再评价得分2分(占该项满分值的6.67%)，具体分析如下：</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a.投资数量指标情况：子基金尚未形成对外投资，无投资总额，5个投资项目截至审计日仅1个处于待决议阶段。</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b.投资质量指标情况：因未形成对外投资，关于投资新区项目占比、投资战略新兴产业占比两项指标都未达到要求。</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c.投资时效指标情况：因未形成对外投资，基金实缴出资到位及时率指标不存在。</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d.投资运行成本情况：截至2022年末，石墨产业基金剩余资金21,828.71万元，当年预付管理费用270.16万元，形成利息收入282.87万元。虽然未能及时形成对外投资，但整体运行成本控制尚好。</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④效果情况分析</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从评价得分情况看，此项评价满分为12分，再评价得分6分(占该项满分值的50%) ，具体分析如下：</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a.投资效果情况：截至2022年末，资产综合增长率未实现同比增长。</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b.放大效果情况：协议约定引导基金承诺出资24,000.00万元，截至2022年末实缴出资7,200.00万元，社会资本认缴48,720.00万元，实缴14,616.00万元，财政资金放大了3.03倍。</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引导作用情况：基金规模72,720.00万元，协议约定的第一期已经实缴到位。基金主要目的是在经营范围从事石墨技术、新材料、新能源汽车等战略性新兴产业及高新技术产业的投资相关的活动，符合引导基金政策要求。财政资金放大3.03倍，发挥了财政资金的引导作用和放大效应。</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d.社会效益情况：因尚未形成对外投资业务，尚未带动新区初创企业进一步发展壮大。</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bookmarkStart w:id="11" w:name="_bookmark25"/>
      <w:bookmarkEnd w:id="11"/>
      <w:r>
        <w:rPr>
          <w:rFonts w:hint="eastAsia" w:ascii="仿宋" w:hAnsi="仿宋" w:eastAsia="仿宋" w:cs="仿宋"/>
          <w:b/>
          <w:bCs/>
          <w:sz w:val="28"/>
          <w:szCs w:val="28"/>
          <w:lang w:val="en-US" w:eastAsia="zh-CN"/>
        </w:rPr>
        <w:t>五、产业引导基金管理机构运营评价</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10月29日，贵局与新区金融公司签订委托管理协议；2021年11月10日，贵局与新区金融公司及哈尔滨银行股份有限公司松北支行签订银行账户三方监管协议；2022年度投资石墨产业基金7,200.00万元，利息收入136.34万元，截至2022年末账户存款余额24,811.21万元。</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年3月7日，新区金融公司提出《申请召开新区产业引导基金专家评审会的函》；3月10日，松北区财政和金融服务局下发《关于召开引导基金专家评审会的通知》；3月14日组织专家开展了石墨产业基金设立评审工作。5月5日，产业引导基金召开了第一次投委会会议，会后新区金融公司积极落实会议决议内容，进一步完善各项规章制度，督促子基金管理公司进一步调整设立方案。</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年度，新区金融公司能够及时上报年度引导基金执行情况报告、年度会计报告、年度基金自评报告；能够通过面谈、电话、微信、会议等方式加强与子基金管理机构的沟通交流，及时了解子基金运营情况；能够积极向产业引导基金投资决策委员会请示汇报，2022年5月5日提交《2022年哈尔滨新区产业引导基金投资计划情况报告》。</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六、存在问题</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（一）绩效评价指标体系不健全，依据不充分</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新区金融公司未按哈松财发〔2022〕90号文件规定健全完善绩效评价指标体系，评价标准是参照哈尔滨晟汇投资有限责任公司2021年度子基金绩效评价表，结合新区产业引导基金在管部分实际情况形成的，指标体系与规定的三级指标“政策效应指标、投资运营指标、管理效能指标”有所出入。</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上述事项不符合《哈尔滨新区（江北一体化发展区）财政和金融服务局政府投资基金绩效评价管理办法（试行）》（哈松财发〔2022〕90号）第十条“政府投资基金绩效评价指标体系由三级指标构成，一级指标构成基金绩效评价的基本框架，包括政策效应指标、投资运营指标、管理效能指标三个部分...”的规定。</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（二）子基金尚未形成对外投资，未能发挥子基金对于新区石墨产业发展的促进作用</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年5月已实缴出资额21,816.00万元，完成第一期30%的出资实缴要求。至2023年6月，一年以来尚未实现对外投资业务，其中1项投资处于决议阶段、1项投资处于立项阶段、2项投资处于项目筛选阶段、1项投资处于项目论证阶段。按照《合伙协议》“投资完成累计实缴出资额的70%后进行下一期出资”要求，如石墨产业基金仍不能完成对外投资或投资进度不佳，则2023年12月31日前将不能实现第二期出资，同时基金的4年投资期已经过去四分之一，届时将存在“大量资金闲置”的风险。</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上述事项不符合《政府投资基金暂行管理办法》（财预〔2015〕210号）第二十条“财政部门应与其他出资人在投资基金章程中约定，有下述情况之一的，政府出资可无需其他出资人同意，选择提前退出：...（二）政府出资拨付投资基金账户一年以上，基金未开展投资业务的；...”的规定，新区产业引导基金出资设立子基金已超过一年，而石墨产业基金仍未进行对外投资，对新区石墨产业未有促进作用，新区产业引导基金可考虑适时提前退出。</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bookmarkStart w:id="12" w:name="_bookmark26"/>
      <w:bookmarkEnd w:id="12"/>
      <w:r>
        <w:rPr>
          <w:rFonts w:hint="eastAsia" w:ascii="仿宋" w:hAnsi="仿宋" w:eastAsia="仿宋" w:cs="仿宋"/>
          <w:b/>
          <w:bCs/>
          <w:sz w:val="28"/>
          <w:szCs w:val="28"/>
          <w:lang w:val="en-US" w:eastAsia="zh-CN"/>
        </w:rPr>
        <w:t>七、建议</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（一）建议新区金融公司落实绩效考评办法，完善绩效指标体系，进一步深化绩效管理制度。</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（二）建议督促子基金加快投资进程，充分发挥产业基金对新区石墨产业发展的促进作用。</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八、其他需要说明的情况</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（一）2023年4月6日，提交了《关于新区产业引导基金（哈尔滨新区金融服务中心有限公司管理部分）情况说明》。</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（二）本报告仅限委托方松北区财政和金融局此次专项委托使用。</w:t>
      </w:r>
    </w:p>
    <w:p>
      <w:pPr>
        <w:keepNext w:val="0"/>
        <w:keepLines w:val="0"/>
        <w:pageBreakBefore w:val="0"/>
        <w:widowControl w:val="0"/>
        <w:wordWrap/>
        <w:overflowPunct/>
        <w:topLinePunct w:val="0"/>
        <w:bidi w:val="0"/>
        <w:spacing w:line="48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九、附件</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（一）2022年度石墨产业基金绩效再评价指标体系评分表</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（二）2022年度哈尔</w:t>
      </w:r>
      <w:bookmarkStart w:id="13" w:name="_GoBack"/>
      <w:bookmarkEnd w:id="13"/>
      <w:r>
        <w:rPr>
          <w:rFonts w:hint="eastAsia" w:ascii="仿宋" w:hAnsi="仿宋" w:eastAsia="仿宋" w:cs="仿宋"/>
          <w:sz w:val="28"/>
          <w:szCs w:val="28"/>
          <w:lang w:val="en-US" w:eastAsia="zh-CN"/>
        </w:rPr>
        <w:t>滨新区产业引导基金绩效自评报告</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黑龙江至圣会计师事务所         中国注册会计师：</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有限责任公司</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中国·哈尔滨              中国注册会计师：</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2023年8月17日</w:t>
      </w:r>
    </w:p>
    <w:p>
      <w:pPr>
        <w:keepNext w:val="0"/>
        <w:keepLines w:val="0"/>
        <w:pageBreakBefore w:val="0"/>
        <w:widowControl w:val="0"/>
        <w:wordWrap/>
        <w:overflowPunct/>
        <w:topLinePunct w:val="0"/>
        <w:bidi w:val="0"/>
        <w:spacing w:line="480" w:lineRule="auto"/>
        <w:ind w:firstLine="560" w:firstLineChars="200"/>
        <w:textAlignment w:val="auto"/>
        <w:rPr>
          <w:rFonts w:hint="eastAsia" w:ascii="仿宋" w:hAnsi="仿宋" w:eastAsia="仿宋" w:cs="仿宋"/>
          <w:sz w:val="28"/>
          <w:szCs w:val="28"/>
          <w:lang w:val="en-US" w:eastAsia="zh-CN"/>
        </w:rPr>
      </w:pPr>
    </w:p>
    <w:sectPr>
      <w:headerReference r:id="rId4" w:type="first"/>
      <w:footerReference r:id="rId7" w:type="first"/>
      <w:headerReference r:id="rId3" w:type="default"/>
      <w:footerReference r:id="rId5" w:type="default"/>
      <w:footerReference r:id="rId6" w:type="even"/>
      <w:pgSz w:w="11906" w:h="16838"/>
      <w:pgMar w:top="1871" w:right="1797" w:bottom="1307" w:left="1797" w:header="851" w:footer="992" w:gutter="0"/>
      <w:lnNumType w:countBy="0"/>
      <w:pgNumType w:fmt="decimal" w:start="1"/>
      <w:cols w:space="425" w:num="1"/>
      <w:titlePg/>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UI Gothic">
    <w:panose1 w:val="020B0600070205080204"/>
    <w:charset w:val="80"/>
    <w:family w:val="swiss"/>
    <w:pitch w:val="default"/>
    <w:sig w:usb0="E00002FF" w:usb1="6AC7FDFB" w:usb2="00000012" w:usb3="00000000" w:csb0="4002009F" w:csb1="DFD7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snapToGrid w:val="0"/>
      <w:jc w:val="left"/>
      <w:textAlignment w:val="baseline"/>
      <w:rPr>
        <w:rStyle w:val="16"/>
        <w:rFonts w:ascii="隶书" w:eastAsia="隶书"/>
        <w:i/>
        <w:iCs/>
        <w:kern w:val="2"/>
        <w:sz w:val="24"/>
        <w:szCs w:val="18"/>
        <w:lang w:val="en-US" w:eastAsia="zh-CN" w:bidi="ar-SA"/>
      </w:rPr>
    </w:pPr>
    <w:r>
      <w:rPr>
        <w:sz w:val="24"/>
      </w:rPr>
      <mc:AlternateContent>
        <mc:Choice Requires="wps">
          <w:drawing>
            <wp:anchor distT="0" distB="0" distL="114300" distR="114300" simplePos="0" relativeHeight="251662336" behindDoc="0" locked="0" layoutInCell="1" allowOverlap="1">
              <wp:simplePos x="0" y="0"/>
              <wp:positionH relativeFrom="margin">
                <wp:posOffset>2125980</wp:posOffset>
              </wp:positionH>
              <wp:positionV relativeFrom="paragraph">
                <wp:posOffset>190500</wp:posOffset>
              </wp:positionV>
              <wp:extent cx="1828800" cy="1828800"/>
              <wp:effectExtent l="0" t="0" r="0" b="0"/>
              <wp:wrapNone/>
              <wp:docPr id="5"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隶书" w:hAnsi="隶书" w:eastAsia="隶书" w:cs="隶书"/>
                              <w:sz w:val="21"/>
                              <w:szCs w:val="21"/>
                            </w:rPr>
                          </w:pPr>
                          <w:r>
                            <w:rPr>
                              <w:rFonts w:hint="eastAsia" w:ascii="隶书" w:hAnsi="隶书" w:eastAsia="隶书" w:cs="隶书"/>
                              <w:sz w:val="21"/>
                              <w:szCs w:val="21"/>
                            </w:rPr>
                            <w:t xml:space="preserve">第 </w:t>
                          </w:r>
                          <w:r>
                            <w:rPr>
                              <w:rFonts w:hint="eastAsia" w:ascii="隶书" w:hAnsi="隶书" w:eastAsia="隶书" w:cs="隶书"/>
                              <w:sz w:val="21"/>
                              <w:szCs w:val="21"/>
                            </w:rPr>
                            <w:fldChar w:fldCharType="begin"/>
                          </w:r>
                          <w:r>
                            <w:rPr>
                              <w:rFonts w:hint="eastAsia" w:ascii="隶书" w:hAnsi="隶书" w:eastAsia="隶书" w:cs="隶书"/>
                              <w:sz w:val="21"/>
                              <w:szCs w:val="21"/>
                            </w:rPr>
                            <w:instrText xml:space="preserve"> PAGE  \* MERGEFORMAT </w:instrText>
                          </w:r>
                          <w:r>
                            <w:rPr>
                              <w:rFonts w:hint="eastAsia" w:ascii="隶书" w:hAnsi="隶书" w:eastAsia="隶书" w:cs="隶书"/>
                              <w:sz w:val="21"/>
                              <w:szCs w:val="21"/>
                            </w:rPr>
                            <w:fldChar w:fldCharType="separate"/>
                          </w:r>
                          <w:r>
                            <w:rPr>
                              <w:rFonts w:hint="eastAsia" w:ascii="隶书" w:hAnsi="隶书" w:eastAsia="隶书" w:cs="隶书"/>
                              <w:sz w:val="21"/>
                              <w:szCs w:val="21"/>
                            </w:rPr>
                            <w:t>2</w:t>
                          </w:r>
                          <w:r>
                            <w:rPr>
                              <w:rFonts w:hint="eastAsia" w:ascii="隶书" w:hAnsi="隶书" w:eastAsia="隶书" w:cs="隶书"/>
                              <w:sz w:val="21"/>
                              <w:szCs w:val="21"/>
                            </w:rPr>
                            <w:fldChar w:fldCharType="end"/>
                          </w:r>
                          <w:r>
                            <w:rPr>
                              <w:rFonts w:hint="eastAsia" w:ascii="隶书" w:hAnsi="隶书" w:eastAsia="隶书" w:cs="隶书"/>
                              <w:sz w:val="21"/>
                              <w:szCs w:val="21"/>
                            </w:rPr>
                            <w:t xml:space="preserve"> 页 共 </w:t>
                          </w:r>
                          <w:r>
                            <w:rPr>
                              <w:rFonts w:hint="eastAsia" w:ascii="隶书" w:hAnsi="隶书" w:eastAsia="隶书" w:cs="隶书"/>
                              <w:sz w:val="21"/>
                              <w:szCs w:val="21"/>
                            </w:rPr>
                            <w:fldChar w:fldCharType="begin"/>
                          </w:r>
                          <w:r>
                            <w:rPr>
                              <w:rFonts w:hint="eastAsia" w:ascii="隶书" w:hAnsi="隶书" w:eastAsia="隶书" w:cs="隶书"/>
                              <w:sz w:val="21"/>
                              <w:szCs w:val="21"/>
                            </w:rPr>
                            <w:instrText xml:space="preserve"> NUMPAGES  \* MERGEFORMAT </w:instrText>
                          </w:r>
                          <w:r>
                            <w:rPr>
                              <w:rFonts w:hint="eastAsia" w:ascii="隶书" w:hAnsi="隶书" w:eastAsia="隶书" w:cs="隶书"/>
                              <w:sz w:val="21"/>
                              <w:szCs w:val="21"/>
                            </w:rPr>
                            <w:fldChar w:fldCharType="separate"/>
                          </w:r>
                          <w:r>
                            <w:rPr>
                              <w:rFonts w:hint="eastAsia" w:ascii="隶书" w:hAnsi="隶书" w:eastAsia="隶书" w:cs="隶书"/>
                              <w:sz w:val="21"/>
                              <w:szCs w:val="21"/>
                            </w:rPr>
                            <w:t>16</w:t>
                          </w:r>
                          <w:r>
                            <w:rPr>
                              <w:rFonts w:hint="eastAsia" w:ascii="隶书" w:hAnsi="隶书" w:eastAsia="隶书" w:cs="隶书"/>
                              <w:sz w:val="21"/>
                              <w:szCs w:val="21"/>
                            </w:rPr>
                            <w:fldChar w:fldCharType="end"/>
                          </w:r>
                          <w:r>
                            <w:rPr>
                              <w:rFonts w:hint="eastAsia" w:ascii="隶书" w:hAnsi="隶书" w:eastAsia="隶书" w:cs="隶书"/>
                              <w:sz w:val="21"/>
                              <w:szCs w:val="21"/>
                            </w:rPr>
                            <w:t xml:space="preserve"> 页</w:t>
                          </w:r>
                        </w:p>
                      </w:txbxContent>
                    </wps:txbx>
                    <wps:bodyPr wrap="none" lIns="0" tIns="0" rIns="0" bIns="0" upright="0">
                      <a:spAutoFit/>
                    </wps:bodyPr>
                  </wps:wsp>
                </a:graphicData>
              </a:graphic>
            </wp:anchor>
          </w:drawing>
        </mc:Choice>
        <mc:Fallback>
          <w:pict>
            <v:shape id="文本框 1033" o:spid="_x0000_s1026" o:spt="202" type="#_x0000_t202" style="position:absolute;left:0pt;margin-left:167.4pt;margin-top:15pt;height:144pt;width:144pt;mso-position-horizontal-relative:margin;mso-wrap-style:none;z-index:251662336;mso-width-relative:page;mso-height-relative:page;" filled="f" stroked="f" coordsize="21600,21600" o:gfxdata="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72409UAAAAKAQAADwAAAAAAAAABACAAAAAiAAAAZHJzL2Rv&#10;d25yZXYueG1sUEsBAhQAFAAAAAgAh07iQHBDZwXLAQAAnAMAAA4AAAAAAAAAAQAgAAAAJAEAAGRy&#10;cy9lMm9Eb2MueG1sUEsFBgAAAAAGAAYAWQEAAGEFAAAAAA==&#10;">
              <v:fill on="f" focussize="0,0"/>
              <v:stroke on="f"/>
              <v:imagedata o:title=""/>
              <o:lock v:ext="edit" aspectratio="f"/>
              <v:textbox inset="0mm,0mm,0mm,0mm" style="mso-fit-shape-to-text:t;">
                <w:txbxContent>
                  <w:p>
                    <w:pPr>
                      <w:pStyle w:val="8"/>
                      <w:rPr>
                        <w:rFonts w:hint="eastAsia" w:ascii="隶书" w:hAnsi="隶书" w:eastAsia="隶书" w:cs="隶书"/>
                        <w:sz w:val="21"/>
                        <w:szCs w:val="21"/>
                      </w:rPr>
                    </w:pPr>
                    <w:r>
                      <w:rPr>
                        <w:rFonts w:hint="eastAsia" w:ascii="隶书" w:hAnsi="隶书" w:eastAsia="隶书" w:cs="隶书"/>
                        <w:sz w:val="21"/>
                        <w:szCs w:val="21"/>
                      </w:rPr>
                      <w:t xml:space="preserve">第 </w:t>
                    </w:r>
                    <w:r>
                      <w:rPr>
                        <w:rFonts w:hint="eastAsia" w:ascii="隶书" w:hAnsi="隶书" w:eastAsia="隶书" w:cs="隶书"/>
                        <w:sz w:val="21"/>
                        <w:szCs w:val="21"/>
                      </w:rPr>
                      <w:fldChar w:fldCharType="begin"/>
                    </w:r>
                    <w:r>
                      <w:rPr>
                        <w:rFonts w:hint="eastAsia" w:ascii="隶书" w:hAnsi="隶书" w:eastAsia="隶书" w:cs="隶书"/>
                        <w:sz w:val="21"/>
                        <w:szCs w:val="21"/>
                      </w:rPr>
                      <w:instrText xml:space="preserve"> PAGE  \* MERGEFORMAT </w:instrText>
                    </w:r>
                    <w:r>
                      <w:rPr>
                        <w:rFonts w:hint="eastAsia" w:ascii="隶书" w:hAnsi="隶书" w:eastAsia="隶书" w:cs="隶书"/>
                        <w:sz w:val="21"/>
                        <w:szCs w:val="21"/>
                      </w:rPr>
                      <w:fldChar w:fldCharType="separate"/>
                    </w:r>
                    <w:r>
                      <w:rPr>
                        <w:rFonts w:hint="eastAsia" w:ascii="隶书" w:hAnsi="隶书" w:eastAsia="隶书" w:cs="隶书"/>
                        <w:sz w:val="21"/>
                        <w:szCs w:val="21"/>
                      </w:rPr>
                      <w:t>2</w:t>
                    </w:r>
                    <w:r>
                      <w:rPr>
                        <w:rFonts w:hint="eastAsia" w:ascii="隶书" w:hAnsi="隶书" w:eastAsia="隶书" w:cs="隶书"/>
                        <w:sz w:val="21"/>
                        <w:szCs w:val="21"/>
                      </w:rPr>
                      <w:fldChar w:fldCharType="end"/>
                    </w:r>
                    <w:r>
                      <w:rPr>
                        <w:rFonts w:hint="eastAsia" w:ascii="隶书" w:hAnsi="隶书" w:eastAsia="隶书" w:cs="隶书"/>
                        <w:sz w:val="21"/>
                        <w:szCs w:val="21"/>
                      </w:rPr>
                      <w:t xml:space="preserve"> 页 共 </w:t>
                    </w:r>
                    <w:r>
                      <w:rPr>
                        <w:rFonts w:hint="eastAsia" w:ascii="隶书" w:hAnsi="隶书" w:eastAsia="隶书" w:cs="隶书"/>
                        <w:sz w:val="21"/>
                        <w:szCs w:val="21"/>
                      </w:rPr>
                      <w:fldChar w:fldCharType="begin"/>
                    </w:r>
                    <w:r>
                      <w:rPr>
                        <w:rFonts w:hint="eastAsia" w:ascii="隶书" w:hAnsi="隶书" w:eastAsia="隶书" w:cs="隶书"/>
                        <w:sz w:val="21"/>
                        <w:szCs w:val="21"/>
                      </w:rPr>
                      <w:instrText xml:space="preserve"> NUMPAGES  \* MERGEFORMAT </w:instrText>
                    </w:r>
                    <w:r>
                      <w:rPr>
                        <w:rFonts w:hint="eastAsia" w:ascii="隶书" w:hAnsi="隶书" w:eastAsia="隶书" w:cs="隶书"/>
                        <w:sz w:val="21"/>
                        <w:szCs w:val="21"/>
                      </w:rPr>
                      <w:fldChar w:fldCharType="separate"/>
                    </w:r>
                    <w:r>
                      <w:rPr>
                        <w:rFonts w:hint="eastAsia" w:ascii="隶书" w:hAnsi="隶书" w:eastAsia="隶书" w:cs="隶书"/>
                        <w:sz w:val="21"/>
                        <w:szCs w:val="21"/>
                      </w:rPr>
                      <w:t>16</w:t>
                    </w:r>
                    <w:r>
                      <w:rPr>
                        <w:rFonts w:hint="eastAsia" w:ascii="隶书" w:hAnsi="隶书" w:eastAsia="隶书" w:cs="隶书"/>
                        <w:sz w:val="21"/>
                        <w:szCs w:val="21"/>
                      </w:rPr>
                      <w:fldChar w:fldCharType="end"/>
                    </w:r>
                    <w:r>
                      <w:rPr>
                        <w:rFonts w:hint="eastAsia" w:ascii="隶书" w:hAnsi="隶书" w:eastAsia="隶书" w:cs="隶书"/>
                        <w:sz w:val="21"/>
                        <w:szCs w:val="21"/>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margin" w:hAnchor="text" w:xAlign="center" w:yAlign="inline"/>
      <w:widowControl/>
      <w:snapToGrid w:val="0"/>
      <w:jc w:val="left"/>
      <w:textAlignment w:val="baseline"/>
      <w:rPr>
        <w:rStyle w:val="21"/>
        <w:kern w:val="2"/>
        <w:sz w:val="18"/>
        <w:szCs w:val="18"/>
        <w:lang w:val="en-US" w:eastAsia="zh-CN" w:bidi="ar-SA"/>
      </w:rPr>
    </w:pPr>
  </w:p>
  <w:p>
    <w:pPr>
      <w:pStyle w:val="8"/>
      <w:widowControl/>
      <w:snapToGrid w:val="0"/>
      <w:ind w:right="360"/>
      <w:jc w:val="left"/>
      <w:textAlignment w:val="baseline"/>
      <w:rPr>
        <w:rStyle w:val="16"/>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textAlignment w:val="baseline"/>
      <w:rPr>
        <w:rStyle w:val="16"/>
        <w:rFonts w:ascii="隶书" w:eastAsia="隶书"/>
        <w:b/>
        <w:i/>
        <w:iCs/>
        <w:kern w:val="2"/>
        <w:sz w:val="18"/>
        <w:szCs w:val="24"/>
        <w:lang w:val="en-US" w:eastAsia="zh-CN" w:bidi="ar-S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0f2aMsBAACcAwAADgAAAGRycy9lMm9Eb2MueG1srVPNjtMwEL4j8Q6W&#10;79RpQas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3lDiuMWBX75/u/z4dfn5lSyr&#10;l6+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tH9mjLAQAAnAMAAA4AAAAAAAAAAQAgAAAAHgEAAGRycy9lMm9E&#10;b2MueG1sUEsFBgAAAAAGAAYAWQEAAFsFA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r>
      <w:rPr>
        <w:rStyle w:val="16"/>
        <w:rFonts w:ascii="隶书" w:eastAsia="隶书"/>
        <w:b/>
        <w:i/>
        <w:iCs/>
        <w:kern w:val="2"/>
        <w:sz w:val="18"/>
        <w:szCs w:val="24"/>
        <w:lang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149225</wp:posOffset>
              </wp:positionV>
              <wp:extent cx="5257800" cy="0"/>
              <wp:effectExtent l="0" t="0" r="0" b="0"/>
              <wp:wrapNone/>
              <wp:docPr id="1" name="直线 1025"/>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5" o:spid="_x0000_s1026" o:spt="20" style="position:absolute;left:0pt;margin-left:0pt;margin-top:11.75pt;height:0pt;width:414pt;z-index:251659264;mso-width-relative:page;mso-height-relative:page;" filled="f" stroked="t" coordsize="21600,21600" o:gfxdata="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rtM5/TAAAA&#10;BgEAAA8AAAAAAAAAAQAgAAAAIgAAAGRycy9kb3ducmV2LnhtbFBLAQIUABQAAAAIAIdO4kCZnIJF&#10;6QEAAN4DAAAOAAAAAAAAAAEAIAAAACIBAABkcnMvZTJvRG9jLnhtbFBLBQYAAAAABgAGAFkBAAB9&#10;BQAAAAA=&#10;">
              <v:fill on="f" focussize="0,0"/>
              <v:stroke color="#000000" joinstyle="round"/>
              <v:imagedata o:title=""/>
              <o:lock v:ext="edit" aspectratio="f"/>
            </v:line>
          </w:pict>
        </mc:Fallback>
      </mc:AlternateContent>
    </w:r>
  </w:p>
  <w:p>
    <w:pPr>
      <w:ind w:left="6256" w:hanging="6255" w:hangingChars="2979"/>
      <w:jc w:val="both"/>
      <w:textAlignment w:val="baseline"/>
      <w:rPr>
        <w:rStyle w:val="16"/>
        <w:rFonts w:ascii="隶书" w:eastAsia="隶书"/>
        <w:i/>
        <w:iCs/>
        <w:kern w:val="2"/>
        <w:sz w:val="21"/>
        <w:szCs w:val="21"/>
        <w:lang w:val="en-US" w:eastAsia="zh-CN" w:bidi="ar-SA"/>
      </w:rPr>
    </w:pPr>
    <w:r>
      <w:rPr>
        <w:rStyle w:val="16"/>
        <w:rFonts w:ascii="隶书" w:eastAsia="隶书"/>
        <w:i/>
        <w:iCs/>
        <w:kern w:val="2"/>
        <w:sz w:val="21"/>
        <w:szCs w:val="21"/>
        <w:lang w:bidi="ar-SA"/>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86995</wp:posOffset>
          </wp:positionV>
          <wp:extent cx="914400" cy="481965"/>
          <wp:effectExtent l="0" t="0" r="0" b="5715"/>
          <wp:wrapNone/>
          <wp:docPr id="3" name="图片 1026"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26" descr="标"/>
                  <pic:cNvPicPr>
                    <a:picLocks noChangeAspect="1"/>
                  </pic:cNvPicPr>
                </pic:nvPicPr>
                <pic:blipFill>
                  <a:blip r:embed="rId1"/>
                  <a:stretch>
                    <a:fillRect/>
                  </a:stretch>
                </pic:blipFill>
                <pic:spPr>
                  <a:xfrm>
                    <a:off x="0" y="0"/>
                    <a:ext cx="914400" cy="481965"/>
                  </a:xfrm>
                  <a:prstGeom prst="rect">
                    <a:avLst/>
                  </a:prstGeom>
                  <a:noFill/>
                  <a:ln>
                    <a:noFill/>
                  </a:ln>
                </pic:spPr>
              </pic:pic>
            </a:graphicData>
          </a:graphic>
        </wp:anchor>
      </w:drawing>
    </w:r>
    <w:r>
      <w:rPr>
        <w:rStyle w:val="16"/>
        <w:rFonts w:ascii="隶书" w:eastAsia="隶书"/>
        <w:i/>
        <w:iCs/>
        <w:kern w:val="2"/>
        <w:sz w:val="21"/>
        <w:szCs w:val="21"/>
        <w:lang w:val="en-US" w:eastAsia="zh-CN" w:bidi="ar-SA"/>
      </w:rPr>
      <w:t xml:space="preserve">地址：黑龙江省哈尔滨市南岗区红旗大街160号  北辰国际1706室       </w:t>
    </w:r>
  </w:p>
  <w:p>
    <w:pPr>
      <w:ind w:left="6256" w:hanging="6255" w:hangingChars="2979"/>
      <w:jc w:val="both"/>
      <w:textAlignment w:val="baseline"/>
      <w:rPr>
        <w:rStyle w:val="16"/>
        <w:rFonts w:ascii="隶书" w:eastAsia="隶书"/>
        <w:i/>
        <w:iCs/>
        <w:kern w:val="2"/>
        <w:sz w:val="21"/>
        <w:szCs w:val="21"/>
        <w:lang w:val="en-US" w:eastAsia="zh-CN" w:bidi="ar-SA"/>
      </w:rPr>
    </w:pPr>
    <w:r>
      <w:rPr>
        <w:rStyle w:val="16"/>
        <w:rFonts w:ascii="隶书" w:eastAsia="隶书"/>
        <w:i/>
        <w:iCs/>
        <w:kern w:val="2"/>
        <w:sz w:val="21"/>
        <w:szCs w:val="21"/>
        <w:lang w:val="en-US" w:eastAsia="zh-CN" w:bidi="ar-SA"/>
      </w:rPr>
      <w:t>邮政编码：150090</w:t>
    </w:r>
  </w:p>
  <w:p>
    <w:pPr>
      <w:ind w:left="6256" w:hanging="6255" w:hangingChars="2979"/>
      <w:jc w:val="both"/>
      <w:textAlignment w:val="baseline"/>
      <w:rPr>
        <w:rStyle w:val="16"/>
        <w:rFonts w:ascii="隶书" w:eastAsia="隶书"/>
        <w:i/>
        <w:iCs/>
        <w:kern w:val="2"/>
        <w:sz w:val="21"/>
        <w:szCs w:val="21"/>
        <w:lang w:val="en-US" w:eastAsia="zh-CN" w:bidi="ar-SA"/>
      </w:rPr>
    </w:pPr>
    <w:r>
      <w:rPr>
        <w:rStyle w:val="16"/>
        <w:rFonts w:ascii="隶书" w:eastAsia="隶书"/>
        <w:i/>
        <w:iCs/>
        <w:kern w:val="2"/>
        <w:sz w:val="21"/>
        <w:szCs w:val="21"/>
        <w:lang w:val="en-US" w:eastAsia="zh-CN" w:bidi="ar-SA"/>
      </w:rPr>
      <w:t xml:space="preserve">电话：0451—82601800 </w:t>
    </w:r>
  </w:p>
  <w:p>
    <w:pPr>
      <w:jc w:val="both"/>
      <w:textAlignment w:val="baseline"/>
      <w:rPr>
        <w:rStyle w:val="16"/>
        <w:rFonts w:ascii="隶书" w:eastAsia="隶书"/>
        <w:b/>
        <w:i/>
        <w:iCs/>
        <w:kern w:val="2"/>
        <w:sz w:val="18"/>
        <w:szCs w:val="24"/>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pBdr>
        <w:bottom w:val="none" w:color="auto" w:sz="0" w:space="0"/>
      </w:pBdr>
      <w:snapToGrid w:val="0"/>
      <w:ind w:firstLine="1932" w:firstLineChars="690"/>
      <w:jc w:val="right"/>
      <w:textAlignment w:val="baseline"/>
      <w:rPr>
        <w:rStyle w:val="16"/>
        <w:rFonts w:eastAsia="隶书"/>
        <w:i/>
        <w:kern w:val="2"/>
        <w:sz w:val="28"/>
        <w:szCs w:val="28"/>
        <w:lang w:val="en-US" w:eastAsia="zh-CN" w:bidi="ar-SA"/>
      </w:rPr>
    </w:pPr>
    <w:r>
      <w:rPr>
        <w:rStyle w:val="16"/>
        <w:rFonts w:eastAsia="隶书"/>
        <w:i/>
        <w:kern w:val="2"/>
        <w:sz w:val="28"/>
        <w:szCs w:val="28"/>
        <w:lang w:bidi="ar-SA"/>
      </w:rPr>
      <w:drawing>
        <wp:anchor distT="0" distB="0" distL="114300" distR="114300" simplePos="0" relativeHeight="251661312" behindDoc="1" locked="0" layoutInCell="1" allowOverlap="1">
          <wp:simplePos x="0" y="0"/>
          <wp:positionH relativeFrom="column">
            <wp:posOffset>228600</wp:posOffset>
          </wp:positionH>
          <wp:positionV relativeFrom="paragraph">
            <wp:posOffset>26670</wp:posOffset>
          </wp:positionV>
          <wp:extent cx="914400" cy="481965"/>
          <wp:effectExtent l="0" t="0" r="0" b="5715"/>
          <wp:wrapNone/>
          <wp:docPr id="4" name="图片 1027"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27" descr="标"/>
                  <pic:cNvPicPr>
                    <a:picLocks noChangeAspect="1"/>
                  </pic:cNvPicPr>
                </pic:nvPicPr>
                <pic:blipFill>
                  <a:blip r:embed="rId1"/>
                  <a:stretch>
                    <a:fillRect/>
                  </a:stretch>
                </pic:blipFill>
                <pic:spPr>
                  <a:xfrm>
                    <a:off x="0" y="0"/>
                    <a:ext cx="914400" cy="481965"/>
                  </a:xfrm>
                  <a:prstGeom prst="rect">
                    <a:avLst/>
                  </a:prstGeom>
                  <a:noFill/>
                  <a:ln>
                    <a:noFill/>
                  </a:ln>
                </pic:spPr>
              </pic:pic>
            </a:graphicData>
          </a:graphic>
        </wp:anchor>
      </w:drawing>
    </w:r>
    <w:r>
      <w:rPr>
        <w:rStyle w:val="16"/>
        <w:rFonts w:eastAsia="隶书"/>
        <w:i/>
        <w:kern w:val="2"/>
        <w:sz w:val="28"/>
        <w:szCs w:val="28"/>
        <w:lang w:val="en-US" w:eastAsia="zh-CN" w:bidi="ar-SA"/>
      </w:rPr>
      <w:t>黑龙江至圣会计师事务所有限责任公司</w:t>
    </w:r>
  </w:p>
  <w:p>
    <w:pPr>
      <w:ind w:left="6256" w:hanging="6255" w:hangingChars="2979"/>
      <w:jc w:val="right"/>
      <w:textAlignment w:val="baseline"/>
      <w:rPr>
        <w:rStyle w:val="16"/>
        <w:rFonts w:ascii="隶书" w:eastAsia="隶书"/>
        <w:i/>
        <w:iCs/>
        <w:kern w:val="2"/>
        <w:sz w:val="21"/>
        <w:szCs w:val="21"/>
        <w:lang w:val="en-US" w:eastAsia="zh-CN" w:bidi="ar-SA"/>
      </w:rPr>
    </w:pPr>
    <w:r>
      <w:rPr>
        <w:rStyle w:val="16"/>
        <w:rFonts w:ascii="隶书" w:eastAsia="隶书"/>
        <w:i/>
        <w:iCs/>
        <w:kern w:val="2"/>
        <w:sz w:val="21"/>
        <w:szCs w:val="21"/>
        <w:lang w:val="en-US" w:eastAsia="zh-CN" w:bidi="ar-SA"/>
      </w:rPr>
      <w:t>地址：黑龙江省哈尔滨市南岗区红旗大街160号北辰国际1706室</w:t>
    </w:r>
  </w:p>
  <w:p>
    <w:pPr>
      <w:ind w:left="6256" w:hanging="6255" w:hangingChars="2979"/>
      <w:jc w:val="right"/>
      <w:textAlignment w:val="baseline"/>
      <w:rPr>
        <w:rStyle w:val="16"/>
        <w:rFonts w:ascii="隶书" w:eastAsia="隶书"/>
        <w:i/>
        <w:iCs/>
        <w:kern w:val="2"/>
        <w:sz w:val="21"/>
        <w:szCs w:val="21"/>
        <w:lang w:val="en-US" w:eastAsia="zh-CN" w:bidi="ar-SA"/>
      </w:rPr>
    </w:pPr>
    <w:r>
      <w:rPr>
        <w:rStyle w:val="16"/>
        <w:rFonts w:ascii="隶书" w:eastAsia="隶书"/>
        <w:i/>
        <w:iCs/>
        <w:kern w:val="2"/>
        <w:sz w:val="21"/>
        <w:szCs w:val="21"/>
        <w:lang w:val="en-US" w:eastAsia="zh-CN" w:bidi="ar-SA"/>
      </w:rPr>
      <w:t>邮政编码：150090    电话：0451—82601800</w:t>
    </w:r>
  </w:p>
  <w:p>
    <w:pPr>
      <w:tabs>
        <w:tab w:val="left" w:pos="5325"/>
        <w:tab w:val="right" w:pos="8312"/>
      </w:tabs>
      <w:ind w:left="8374" w:hanging="8345" w:hangingChars="2979"/>
      <w:jc w:val="left"/>
      <w:textAlignment w:val="baseline"/>
      <w:rPr>
        <w:rStyle w:val="16"/>
        <w:rFonts w:eastAsia="隶书"/>
        <w:b/>
        <w:i/>
        <w:kern w:val="2"/>
        <w:sz w:val="28"/>
        <w:szCs w:val="28"/>
        <w:lang w:val="en-US" w:eastAsia="zh-CN" w:bidi="ar-SA"/>
      </w:rPr>
    </w:pPr>
    <w:r>
      <w:rPr>
        <w:rStyle w:val="16"/>
        <w:rFonts w:eastAsia="隶书"/>
        <w:b/>
        <w:i/>
        <w:kern w:val="2"/>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143510</wp:posOffset>
              </wp:positionV>
              <wp:extent cx="5486400" cy="0"/>
              <wp:effectExtent l="0" t="0" r="0" b="0"/>
              <wp:wrapNone/>
              <wp:docPr id="2" name="直线 1028"/>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28" o:spid="_x0000_s1026" o:spt="20" style="position:absolute;left:0pt;margin-left:-9pt;margin-top:11.3pt;height:0pt;width:432pt;z-index:251659264;mso-width-relative:page;mso-height-relative:page;" filled="f" stroked="t" coordsize="21600,21600" o:gfxdata="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Msm&#10;u9cAAAAJAQAADwAAAAAAAAABACAAAAAiAAAAZHJzL2Rvd25yZXYueG1sUEsBAhQAFAAAAAgAh07i&#10;QDAgnOHqAQAA3wMAAA4AAAAAAAAAAQAgAAAAJgEAAGRycy9lMm9Eb2MueG1sUEsFBgAAAAAGAAYA&#10;WQEAAIIFAAAAAA==&#10;">
              <v:fill on="f" focussize="0,0"/>
              <v:stroke weight="1pt" color="#000000" joinstyle="round"/>
              <v:imagedata o:title=""/>
              <o:lock v:ext="edit" aspectratio="f"/>
            </v:line>
          </w:pict>
        </mc:Fallback>
      </mc:AlternateContent>
    </w:r>
    <w:r>
      <w:rPr>
        <w:rStyle w:val="16"/>
        <w:rFonts w:ascii="隶书" w:eastAsia="隶书"/>
        <w:b/>
        <w:i/>
        <w:iCs/>
        <w:kern w:val="2"/>
        <w:sz w:val="21"/>
        <w:szCs w:val="21"/>
        <w:lang w:val="en-US" w:eastAsia="zh-CN" w:bidi="ar-SA"/>
      </w:rPr>
      <w:tab/>
    </w:r>
    <w:r>
      <w:rPr>
        <w:rStyle w:val="16"/>
        <w:rFonts w:ascii="隶书" w:eastAsia="隶书"/>
        <w:b/>
        <w:i/>
        <w:iCs/>
        <w:kern w:val="2"/>
        <w:sz w:val="21"/>
        <w:szCs w:val="21"/>
        <w:lang w:val="en-US" w:eastAsia="zh-CN" w:bidi="ar-S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942" w:leftChars="112" w:hanging="707" w:hangingChars="149"/>
      <w:jc w:val="both"/>
      <w:textAlignment w:val="baseline"/>
      <w:rPr>
        <w:rStyle w:val="16"/>
        <w:rFonts w:ascii="黑体" w:hAnsi="MS UI Gothic" w:eastAsia="黑体"/>
        <w:w w:val="66"/>
        <w:kern w:val="2"/>
        <w:sz w:val="72"/>
        <w:szCs w:val="72"/>
        <w:lang w:val="en-US" w:eastAsia="zh-CN" w:bidi="ar-SA"/>
      </w:rPr>
    </w:pPr>
    <w:r>
      <w:rPr>
        <w:rStyle w:val="16"/>
        <w:rFonts w:ascii="黑体" w:eastAsia="黑体"/>
        <w:w w:val="66"/>
        <w:kern w:val="2"/>
        <w:sz w:val="72"/>
        <w:szCs w:val="72"/>
        <w:lang w:val="en-US" w:eastAsia="zh-CN" w:bidi="ar-SA"/>
      </w:rPr>
      <w:t xml:space="preserve">黑龙江至圣会计师事务所有限责任公司 </w:t>
    </w:r>
  </w:p>
  <w:p>
    <w:pPr>
      <w:pStyle w:val="24"/>
      <w:widowControl/>
      <w:spacing w:after="120"/>
      <w:jc w:val="center"/>
      <w:textAlignment w:val="baseline"/>
      <w:rPr>
        <w:rStyle w:val="16"/>
        <w:b/>
        <w:szCs w:val="21"/>
      </w:rPr>
    </w:pPr>
    <w:r>
      <w:rPr>
        <w:rStyle w:val="16"/>
        <w:b/>
        <w:szCs w:val="21"/>
      </w:rPr>
      <w:t xml:space="preserve"> HEILONGJIANG  ZHISHENG  ACCOUNTANTS  BUSINESS  OFFICE CO.,LTD</w:t>
    </w:r>
  </w:p>
  <w:p>
    <w:pPr>
      <w:pStyle w:val="9"/>
      <w:widowControl/>
      <w:pBdr>
        <w:bottom w:val="single" w:color="000000" w:sz="6" w:space="1"/>
      </w:pBdr>
      <w:snapToGrid w:val="0"/>
      <w:jc w:val="center"/>
      <w:textAlignment w:val="baseline"/>
      <w:rPr>
        <w:rStyle w:val="16"/>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ZGRjMWExZDEzMjVjNDBkZTcwNmQ5Nzk2ZjJmNjYifQ=="/>
  </w:docVars>
  <w:rsids>
    <w:rsidRoot w:val="00000000"/>
    <w:rsid w:val="023B3BE5"/>
    <w:rsid w:val="023E3084"/>
    <w:rsid w:val="02B156C5"/>
    <w:rsid w:val="065628C5"/>
    <w:rsid w:val="06D73A10"/>
    <w:rsid w:val="07667FF2"/>
    <w:rsid w:val="083D41F7"/>
    <w:rsid w:val="08892397"/>
    <w:rsid w:val="091D4E4F"/>
    <w:rsid w:val="09FB1AC2"/>
    <w:rsid w:val="0A2F48C2"/>
    <w:rsid w:val="0B146AB7"/>
    <w:rsid w:val="0B7E06E0"/>
    <w:rsid w:val="0C8B5FF6"/>
    <w:rsid w:val="0E540BAC"/>
    <w:rsid w:val="0F845041"/>
    <w:rsid w:val="10D02B0C"/>
    <w:rsid w:val="114710E3"/>
    <w:rsid w:val="123513DC"/>
    <w:rsid w:val="127D7927"/>
    <w:rsid w:val="14521DA1"/>
    <w:rsid w:val="14C80402"/>
    <w:rsid w:val="14E778A9"/>
    <w:rsid w:val="157E0E4B"/>
    <w:rsid w:val="158477A1"/>
    <w:rsid w:val="15FF6AF4"/>
    <w:rsid w:val="17EB0E13"/>
    <w:rsid w:val="183D6D9C"/>
    <w:rsid w:val="190B2792"/>
    <w:rsid w:val="1B4212A7"/>
    <w:rsid w:val="1DB920F3"/>
    <w:rsid w:val="1E5654AE"/>
    <w:rsid w:val="1F630253"/>
    <w:rsid w:val="1F6C664B"/>
    <w:rsid w:val="1F926601"/>
    <w:rsid w:val="20F51679"/>
    <w:rsid w:val="20FF53CA"/>
    <w:rsid w:val="21546741"/>
    <w:rsid w:val="229D1DA7"/>
    <w:rsid w:val="22CF0AA6"/>
    <w:rsid w:val="22DD4DF8"/>
    <w:rsid w:val="23290A87"/>
    <w:rsid w:val="24BE1220"/>
    <w:rsid w:val="25271233"/>
    <w:rsid w:val="25EA0154"/>
    <w:rsid w:val="277F0AB0"/>
    <w:rsid w:val="283F1871"/>
    <w:rsid w:val="29A12E7A"/>
    <w:rsid w:val="29C333FF"/>
    <w:rsid w:val="2A077678"/>
    <w:rsid w:val="2AA22074"/>
    <w:rsid w:val="2AC24756"/>
    <w:rsid w:val="2B800319"/>
    <w:rsid w:val="2BEF61A7"/>
    <w:rsid w:val="2C890F3A"/>
    <w:rsid w:val="2CAC730B"/>
    <w:rsid w:val="2CF8068F"/>
    <w:rsid w:val="2F065DD3"/>
    <w:rsid w:val="2F561FC3"/>
    <w:rsid w:val="311A5A74"/>
    <w:rsid w:val="312A45EE"/>
    <w:rsid w:val="3144244E"/>
    <w:rsid w:val="3200727B"/>
    <w:rsid w:val="32562CF3"/>
    <w:rsid w:val="32895747"/>
    <w:rsid w:val="32B253B6"/>
    <w:rsid w:val="331A1D5C"/>
    <w:rsid w:val="33446FA1"/>
    <w:rsid w:val="339F5E07"/>
    <w:rsid w:val="33B94466"/>
    <w:rsid w:val="33CA20B6"/>
    <w:rsid w:val="347B2A5F"/>
    <w:rsid w:val="360D0068"/>
    <w:rsid w:val="372F2BD6"/>
    <w:rsid w:val="37492C0F"/>
    <w:rsid w:val="38597582"/>
    <w:rsid w:val="3A240899"/>
    <w:rsid w:val="3A5275A2"/>
    <w:rsid w:val="3B2634C0"/>
    <w:rsid w:val="3B40682F"/>
    <w:rsid w:val="3CEC4BC9"/>
    <w:rsid w:val="3DC92BFF"/>
    <w:rsid w:val="3F696262"/>
    <w:rsid w:val="40330901"/>
    <w:rsid w:val="424B2D70"/>
    <w:rsid w:val="43143CD2"/>
    <w:rsid w:val="437512C3"/>
    <w:rsid w:val="443B20A2"/>
    <w:rsid w:val="44600638"/>
    <w:rsid w:val="449C403E"/>
    <w:rsid w:val="45712142"/>
    <w:rsid w:val="478342E4"/>
    <w:rsid w:val="47A619AA"/>
    <w:rsid w:val="47F33468"/>
    <w:rsid w:val="4829318F"/>
    <w:rsid w:val="48920AF8"/>
    <w:rsid w:val="48DF33D4"/>
    <w:rsid w:val="49765607"/>
    <w:rsid w:val="4A6714D3"/>
    <w:rsid w:val="4A8651B9"/>
    <w:rsid w:val="4B283F33"/>
    <w:rsid w:val="4B29568C"/>
    <w:rsid w:val="4BB7246F"/>
    <w:rsid w:val="4C2505F2"/>
    <w:rsid w:val="4C837FA6"/>
    <w:rsid w:val="4D435475"/>
    <w:rsid w:val="4DE66506"/>
    <w:rsid w:val="4F476BB0"/>
    <w:rsid w:val="4F69568A"/>
    <w:rsid w:val="52C97F8B"/>
    <w:rsid w:val="52E95598"/>
    <w:rsid w:val="5430228F"/>
    <w:rsid w:val="54F67DD3"/>
    <w:rsid w:val="57FD7DCF"/>
    <w:rsid w:val="58365C18"/>
    <w:rsid w:val="587358E6"/>
    <w:rsid w:val="588C48E9"/>
    <w:rsid w:val="59C86B3A"/>
    <w:rsid w:val="5A3E25D4"/>
    <w:rsid w:val="5A4429FB"/>
    <w:rsid w:val="5AFD29F8"/>
    <w:rsid w:val="5C5C582A"/>
    <w:rsid w:val="5C6C3084"/>
    <w:rsid w:val="5C8B1540"/>
    <w:rsid w:val="5CBD0DE0"/>
    <w:rsid w:val="5CDF4595"/>
    <w:rsid w:val="5D131446"/>
    <w:rsid w:val="5E80242A"/>
    <w:rsid w:val="5F3961B5"/>
    <w:rsid w:val="5F8F74AA"/>
    <w:rsid w:val="60205B2F"/>
    <w:rsid w:val="612302F4"/>
    <w:rsid w:val="6148314D"/>
    <w:rsid w:val="61D2715D"/>
    <w:rsid w:val="62472075"/>
    <w:rsid w:val="627877D0"/>
    <w:rsid w:val="635050A2"/>
    <w:rsid w:val="63823F87"/>
    <w:rsid w:val="660109D5"/>
    <w:rsid w:val="68AA5A74"/>
    <w:rsid w:val="68E6495E"/>
    <w:rsid w:val="696C226C"/>
    <w:rsid w:val="69E01D5E"/>
    <w:rsid w:val="6C391B9F"/>
    <w:rsid w:val="6D4E5EF4"/>
    <w:rsid w:val="6DF961FC"/>
    <w:rsid w:val="6EB56801"/>
    <w:rsid w:val="6F047DB6"/>
    <w:rsid w:val="708B5CBE"/>
    <w:rsid w:val="7111643D"/>
    <w:rsid w:val="7119627A"/>
    <w:rsid w:val="71D465DA"/>
    <w:rsid w:val="72C76B03"/>
    <w:rsid w:val="73F666D6"/>
    <w:rsid w:val="743E7F39"/>
    <w:rsid w:val="74B9593C"/>
    <w:rsid w:val="761938F1"/>
    <w:rsid w:val="761E6C55"/>
    <w:rsid w:val="7677065A"/>
    <w:rsid w:val="76DB206E"/>
    <w:rsid w:val="77421C3F"/>
    <w:rsid w:val="780D771E"/>
    <w:rsid w:val="78322234"/>
    <w:rsid w:val="78481FD3"/>
    <w:rsid w:val="78DC5048"/>
    <w:rsid w:val="791E2B16"/>
    <w:rsid w:val="7941140D"/>
    <w:rsid w:val="794762E6"/>
    <w:rsid w:val="797F3A8C"/>
    <w:rsid w:val="79EF706B"/>
    <w:rsid w:val="7A700A25"/>
    <w:rsid w:val="7C6A3A03"/>
    <w:rsid w:val="7CAF25AA"/>
    <w:rsid w:val="7D5B6385"/>
    <w:rsid w:val="7DC9394D"/>
    <w:rsid w:val="7DCE2E77"/>
    <w:rsid w:val="7ED06E49"/>
    <w:rsid w:val="7F0B093A"/>
    <w:rsid w:val="7F6063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2"/>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首行缩进1"/>
    <w:basedOn w:val="3"/>
    <w:qFormat/>
    <w:uiPriority w:val="0"/>
    <w:pPr>
      <w:spacing w:line="588" w:lineRule="exact"/>
      <w:ind w:firstLine="880" w:firstLineChars="200"/>
    </w:pPr>
  </w:style>
  <w:style w:type="paragraph" w:styleId="3">
    <w:name w:val="Body Text"/>
    <w:basedOn w:val="1"/>
    <w:unhideWhenUsed/>
    <w:qFormat/>
    <w:uiPriority w:val="99"/>
    <w:pPr>
      <w:spacing w:after="120"/>
    </w:pPr>
  </w:style>
  <w:style w:type="paragraph" w:styleId="6">
    <w:name w:val="annotation text"/>
    <w:basedOn w:val="1"/>
    <w:qFormat/>
    <w:uiPriority w:val="0"/>
    <w:pPr>
      <w:jc w:val="left"/>
    </w:pPr>
  </w:style>
  <w:style w:type="paragraph" w:styleId="7">
    <w:name w:val="Body Text Indent"/>
    <w:basedOn w:val="1"/>
    <w:qFormat/>
    <w:uiPriority w:val="0"/>
    <w:pPr>
      <w:spacing w:line="120" w:lineRule="auto"/>
      <w:ind w:left="-279" w:leftChars="-133" w:firstLine="560" w:firstLineChars="200"/>
    </w:pPr>
    <w:rPr>
      <w:rFonts w:ascii="宋体" w:hAnsi="宋体"/>
      <w:sz w:val="28"/>
    </w:rPr>
  </w:style>
  <w:style w:type="paragraph" w:styleId="8">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9">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7"/>
    <w:qFormat/>
    <w:uiPriority w:val="0"/>
    <w:pPr>
      <w:ind w:firstLine="420" w:firstLineChars="200"/>
    </w:pPr>
    <w:rPr>
      <w:rFonts w:ascii="Times New Roman" w:hAnsi="Times New Roman" w:eastAsia="宋体" w:cs="Times New Roman"/>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6"/>
    <w:link w:val="1"/>
    <w:qFormat/>
    <w:uiPriority w:val="0"/>
    <w:rPr>
      <w:b/>
    </w:rPr>
  </w:style>
  <w:style w:type="character" w:customStyle="1" w:styleId="16">
    <w:name w:val="NormalCharacter"/>
    <w:link w:val="1"/>
    <w:semiHidden/>
    <w:qFormat/>
    <w:uiPriority w:val="0"/>
  </w:style>
  <w:style w:type="character" w:styleId="17">
    <w:name w:val="Hyperlink"/>
    <w:basedOn w:val="14"/>
    <w:link w:val="1"/>
    <w:qFormat/>
    <w:uiPriority w:val="0"/>
    <w:rPr>
      <w:color w:val="0000FF"/>
      <w:u w:val="single"/>
    </w:rPr>
  </w:style>
  <w:style w:type="table" w:customStyle="1" w:styleId="18">
    <w:name w:val="TableNormal"/>
    <w:semiHidden/>
    <w:qFormat/>
    <w:uiPriority w:val="0"/>
  </w:style>
  <w:style w:type="character" w:customStyle="1" w:styleId="19">
    <w:name w:val="UserStyle_0"/>
    <w:basedOn w:val="16"/>
    <w:link w:val="1"/>
    <w:qFormat/>
    <w:uiPriority w:val="0"/>
    <w:rPr>
      <w:rFonts w:ascii="宋体" w:hAnsi="宋体" w:eastAsia="宋体"/>
      <w:b/>
      <w:color w:val="000000"/>
      <w:sz w:val="24"/>
      <w:szCs w:val="24"/>
    </w:rPr>
  </w:style>
  <w:style w:type="character" w:customStyle="1" w:styleId="20">
    <w:name w:val="UserStyle_1"/>
    <w:basedOn w:val="16"/>
    <w:link w:val="1"/>
    <w:qFormat/>
    <w:uiPriority w:val="0"/>
    <w:rPr>
      <w:rFonts w:ascii="宋体" w:hAnsi="宋体" w:eastAsia="宋体"/>
      <w:b/>
      <w:color w:val="000000"/>
      <w:sz w:val="24"/>
      <w:szCs w:val="24"/>
    </w:rPr>
  </w:style>
  <w:style w:type="character" w:customStyle="1" w:styleId="21">
    <w:name w:val="PageNumber"/>
    <w:basedOn w:val="16"/>
    <w:link w:val="1"/>
    <w:qFormat/>
    <w:uiPriority w:val="0"/>
  </w:style>
  <w:style w:type="character" w:customStyle="1" w:styleId="22">
    <w:name w:val="UserStyle_2"/>
    <w:basedOn w:val="16"/>
    <w:link w:val="1"/>
    <w:qFormat/>
    <w:uiPriority w:val="0"/>
    <w:rPr>
      <w:rFonts w:ascii="宋体" w:hAnsi="宋体" w:eastAsia="宋体"/>
      <w:color w:val="000000"/>
      <w:sz w:val="20"/>
      <w:szCs w:val="20"/>
    </w:rPr>
  </w:style>
  <w:style w:type="paragraph" w:customStyle="1" w:styleId="23">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paragraph" w:customStyle="1" w:styleId="24">
    <w:name w:val="BodyText"/>
    <w:basedOn w:val="1"/>
    <w:qFormat/>
    <w:uiPriority w:val="0"/>
    <w:pPr>
      <w:spacing w:after="120"/>
      <w:jc w:val="both"/>
      <w:textAlignment w:val="baseline"/>
    </w:pPr>
  </w:style>
  <w:style w:type="paragraph" w:customStyle="1" w:styleId="25">
    <w:name w:val="PlainText"/>
    <w:basedOn w:val="1"/>
    <w:qFormat/>
    <w:uiPriority w:val="0"/>
    <w:pPr>
      <w:jc w:val="both"/>
      <w:textAlignment w:val="baseline"/>
    </w:pPr>
    <w:rPr>
      <w:rFonts w:ascii="宋体" w:hAnsi="Courier New"/>
      <w:kern w:val="2"/>
      <w:sz w:val="24"/>
      <w:szCs w:val="20"/>
      <w:lang w:val="en-US" w:eastAsia="zh-CN" w:bidi="ar-SA"/>
    </w:rPr>
  </w:style>
  <w:style w:type="paragraph" w:customStyle="1" w:styleId="26">
    <w:name w:val="BodyTextIndent"/>
    <w:basedOn w:val="1"/>
    <w:qFormat/>
    <w:uiPriority w:val="0"/>
    <w:pPr>
      <w:spacing w:after="120"/>
      <w:ind w:left="420" w:leftChars="200"/>
      <w:jc w:val="both"/>
      <w:textAlignment w:val="baseline"/>
    </w:pPr>
    <w:rPr>
      <w:kern w:val="2"/>
      <w:sz w:val="21"/>
      <w:szCs w:val="20"/>
      <w:lang w:val="en-US" w:eastAsia="zh-CN" w:bidi="ar-SA"/>
    </w:rPr>
  </w:style>
  <w:style w:type="paragraph" w:customStyle="1" w:styleId="27">
    <w:name w:val="AnnotationText"/>
    <w:basedOn w:val="1"/>
    <w:qFormat/>
    <w:uiPriority w:val="0"/>
    <w:pPr>
      <w:jc w:val="left"/>
      <w:textAlignment w:val="baseline"/>
    </w:pPr>
  </w:style>
  <w:style w:type="paragraph" w:customStyle="1" w:styleId="28">
    <w:name w:val="179"/>
    <w:basedOn w:val="1"/>
    <w:qFormat/>
    <w:uiPriority w:val="0"/>
    <w:pPr>
      <w:ind w:firstLine="420" w:firstLineChars="200"/>
      <w:jc w:val="both"/>
      <w:textAlignment w:val="baseline"/>
    </w:pPr>
    <w:rPr>
      <w:rFonts w:ascii="Calibri" w:hAnsi="Calibri" w:eastAsia="宋体"/>
      <w:kern w:val="2"/>
      <w:sz w:val="21"/>
      <w:szCs w:val="22"/>
      <w:lang w:val="en-US" w:eastAsia="zh-CN" w:bidi="ar-SA"/>
    </w:rPr>
  </w:style>
  <w:style w:type="table" w:customStyle="1" w:styleId="29">
    <w:name w:val="TableGrid"/>
    <w:basedOn w:val="18"/>
    <w:qFormat/>
    <w:uiPriority w:val="0"/>
  </w:style>
  <w:style w:type="paragraph" w:styleId="30">
    <w:name w:val="List Paragraph"/>
    <w:basedOn w:val="1"/>
    <w:qFormat/>
    <w:uiPriority w:val="34"/>
    <w:pPr>
      <w:ind w:firstLine="420" w:firstLineChars="200"/>
    </w:pPr>
  </w:style>
  <w:style w:type="character" w:customStyle="1" w:styleId="31">
    <w:name w:val="font11"/>
    <w:basedOn w:val="14"/>
    <w:qFormat/>
    <w:uiPriority w:val="0"/>
    <w:rPr>
      <w:rFonts w:hint="eastAsia" w:ascii="仿宋" w:hAnsi="仿宋" w:eastAsia="仿宋" w:cs="仿宋"/>
      <w:color w:val="000000"/>
      <w:sz w:val="20"/>
      <w:szCs w:val="20"/>
      <w:u w:val="none"/>
    </w:rPr>
  </w:style>
  <w:style w:type="table" w:customStyle="1" w:styleId="3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7802</Words>
  <Characters>9904</Characters>
  <TotalTime>297</TotalTime>
  <ScaleCrop>false</ScaleCrop>
  <LinksUpToDate>false</LinksUpToDate>
  <CharactersWithSpaces>10039</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2021-08-06T01:07:00Z</dcterms:created>
  <dc:creator>lenovo</dc:creator>
  <cp:lastModifiedBy>超超</cp:lastModifiedBy>
  <cp:lastPrinted>2023-08-21T05:21:19Z</cp:lastPrinted>
  <dcterms:modified xsi:type="dcterms:W3CDTF">2023-08-21T05:22:02Z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D7160660E5A44B55873B7B1244C36B42</vt:lpwstr>
  </property>
</Properties>
</file>